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附件</w:t>
      </w:r>
      <w:r>
        <w:rPr>
          <w:rFonts w:eastAsia="標楷體" w:ascii="標楷體" w:hAnsi="標楷體"/>
          <w:sz w:val="28"/>
          <w:szCs w:val="28"/>
        </w:rPr>
        <w:t>1</w:t>
      </w:r>
      <w:r>
        <mc:AlternateContent>
          <mc:Choice Requires="wps">
            <w:drawing>
              <wp:anchor behindDoc="0" distT="0" distB="0" distL="114300" distR="114300" simplePos="0" locked="0" layoutInCell="1" allowOverlap="1" relativeHeight="2">
                <wp:simplePos x="0" y="0"/>
                <wp:positionH relativeFrom="column">
                  <wp:posOffset>4561205</wp:posOffset>
                </wp:positionH>
                <wp:positionV relativeFrom="paragraph">
                  <wp:posOffset>-532765</wp:posOffset>
                </wp:positionV>
                <wp:extent cx="1599565" cy="494665"/>
                <wp:effectExtent l="0" t="0" r="0" b="0"/>
                <wp:wrapSquare wrapText="bothSides"/>
                <wp:docPr id="1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9565" cy="494665"/>
                        </a:xfrm>
                        <a:prstGeom prst="rect"/>
                        <a:solidFill>
                          <a:srgbClr val="FFFFFF"/>
                        </a:solidFill>
                      </wps:spPr>
                      <wps:txbx>
                        <w:txbxContent>
                          <w:p>
                            <w:pPr>
                              <w:pStyle w:val="Style25"/>
                              <w:rPr/>
                            </w:pPr>
                            <w:r>
                              <w:rPr>
                                <w:rFonts w:eastAsia="標楷體"/>
                                <w:sz w:val="22"/>
                                <w:szCs w:val="22"/>
                              </w:rPr>
                              <w:t>（</w:t>
                            </w:r>
                            <w:r>
                              <w:rPr>
                                <w:rFonts w:eastAsia="標楷體"/>
                                <w:sz w:val="22"/>
                                <w:szCs w:val="22"/>
                              </w:rPr>
                              <w:t>110</w:t>
                            </w:r>
                            <w:r>
                              <w:rPr>
                                <w:rFonts w:eastAsia="標楷體"/>
                                <w:sz w:val="22"/>
                                <w:szCs w:val="22"/>
                              </w:rPr>
                              <w:t>年</w:t>
                            </w:r>
                            <w:r>
                              <w:rPr>
                                <w:rFonts w:eastAsia="標楷體"/>
                                <w:sz w:val="22"/>
                                <w:szCs w:val="22"/>
                              </w:rPr>
                              <w:t>8</w:t>
                            </w:r>
                            <w:r>
                              <w:rPr>
                                <w:rFonts w:eastAsia="標楷體"/>
                                <w:sz w:val="22"/>
                                <w:szCs w:val="22"/>
                              </w:rPr>
                              <w:t>月修正）</w:t>
                            </w:r>
                          </w:p>
                        </w:txbxContent>
                      </wps:txbx>
                      <wps:bodyPr anchor="t" lIns="91440" tIns="45720" rIns="91440" bIns="45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fillcolor="#FFFFFF" stroked="f" strokeweight="0pt" style="position:absolute;rotation:0;width:125.95pt;height:38.95pt;mso-wrap-distance-left:9pt;mso-wrap-distance-right:9pt;mso-wrap-distance-top:0pt;mso-wrap-distance-bottom:0pt;margin-top:-41.95pt;mso-position-vertical-relative:text;margin-left:359.15pt;mso-position-horizontal-relative:text">
                <v:textbox>
                  <w:txbxContent>
                    <w:p>
                      <w:pPr>
                        <w:pStyle w:val="Style25"/>
                        <w:rPr/>
                      </w:pPr>
                      <w:r>
                        <w:rPr>
                          <w:rFonts w:eastAsia="標楷體"/>
                          <w:sz w:val="22"/>
                          <w:szCs w:val="22"/>
                        </w:rPr>
                        <w:t>（</w:t>
                      </w:r>
                      <w:r>
                        <w:rPr>
                          <w:rFonts w:eastAsia="標楷體"/>
                          <w:sz w:val="22"/>
                          <w:szCs w:val="22"/>
                        </w:rPr>
                        <w:t>110</w:t>
                      </w:r>
                      <w:r>
                        <w:rPr>
                          <w:rFonts w:eastAsia="標楷體"/>
                          <w:sz w:val="22"/>
                          <w:szCs w:val="22"/>
                        </w:rPr>
                        <w:t>年</w:t>
                      </w:r>
                      <w:r>
                        <w:rPr>
                          <w:rFonts w:eastAsia="標楷體"/>
                          <w:sz w:val="22"/>
                          <w:szCs w:val="22"/>
                        </w:rPr>
                        <w:t>8</w:t>
                      </w:r>
                      <w:r>
                        <w:rPr>
                          <w:rFonts w:eastAsia="標楷體"/>
                          <w:sz w:val="22"/>
                          <w:szCs w:val="22"/>
                        </w:rPr>
                        <w:t>月修正）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p>
      <w:pPr>
        <w:pStyle w:val="Normal"/>
        <w:spacing w:lineRule="exact" w:line="400"/>
        <w:rPr>
          <w:b/>
          <w:b/>
          <w:bCs/>
        </w:rPr>
      </w:pPr>
      <w:r>
        <w:rPr>
          <w:rFonts w:ascii="標楷體" w:hAnsi="標楷體" w:eastAsia="標楷體"/>
          <w:b/>
          <w:bCs/>
          <w:color w:val="000000"/>
          <w:sz w:val="32"/>
          <w:szCs w:val="32"/>
        </w:rPr>
        <w:t>國有非公用土地設置太陽光電發電設</w:t>
      </w:r>
      <w:r>
        <w:rPr>
          <w:rFonts w:ascii="標楷體" w:hAnsi="標楷體" w:eastAsia="標楷體"/>
          <w:b/>
          <w:bCs/>
          <w:color w:val="000000"/>
          <w:kern w:val="0"/>
          <w:sz w:val="32"/>
          <w:szCs w:val="32"/>
        </w:rPr>
        <w:t xml:space="preserve">備標租案    </w:t>
      </w:r>
      <w:r>
        <w:rPr>
          <w:rFonts w:ascii="標楷體" w:hAnsi="標楷體" w:eastAsia="標楷體"/>
          <w:b/>
          <w:bCs/>
          <w:color w:val="000000"/>
          <w:sz w:val="32"/>
          <w:szCs w:val="32"/>
        </w:rPr>
        <w:t>租賃標的清冊</w:t>
      </w:r>
    </w:p>
    <w:tbl>
      <w:tblPr>
        <w:tblW w:w="10200" w:type="dxa"/>
        <w:jc w:val="left"/>
        <w:tblInd w:w="-88" w:type="dxa"/>
        <w:tblCellMar>
          <w:top w:w="0" w:type="dxa"/>
          <w:left w:w="28" w:type="dxa"/>
          <w:bottom w:w="0" w:type="dxa"/>
          <w:right w:w="28" w:type="dxa"/>
        </w:tblCellMar>
        <w:tblLook w:firstRow="0" w:noVBand="0" w:lastRow="0" w:firstColumn="0" w:lastColumn="0" w:noHBand="0" w:val="0000"/>
      </w:tblPr>
      <w:tblGrid>
        <w:gridCol w:w="343"/>
        <w:gridCol w:w="735"/>
        <w:gridCol w:w="733"/>
        <w:gridCol w:w="681"/>
        <w:gridCol w:w="397"/>
        <w:gridCol w:w="677"/>
        <w:gridCol w:w="899"/>
        <w:gridCol w:w="5"/>
        <w:gridCol w:w="513"/>
        <w:gridCol w:w="5"/>
        <w:gridCol w:w="1291"/>
        <w:gridCol w:w="5"/>
        <w:gridCol w:w="963"/>
        <w:gridCol w:w="5"/>
        <w:gridCol w:w="2946"/>
      </w:tblGrid>
      <w:tr>
        <w:trPr>
          <w:trHeight w:val="465" w:hRule="atLeast"/>
          <w:cantSplit w:val="true"/>
        </w:trPr>
        <w:tc>
          <w:tcPr>
            <w:tcW w:w="343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jc w:val="center"/>
              <w:rPr>
                <w:rFonts w:ascii="標楷體" w:hAnsi="標楷體" w:eastAsia="標楷體" w:cs="標楷體"/>
                <w:color w:val="000000"/>
                <w:szCs w:val="24"/>
              </w:rPr>
            </w:pPr>
            <w:r>
              <w:rPr>
                <w:rFonts w:ascii="標楷體" w:hAnsi="標楷體" w:cs="標楷體" w:eastAsia="標楷體"/>
                <w:color w:val="000000"/>
                <w:szCs w:val="24"/>
              </w:rPr>
              <w:t>編號</w:t>
            </w:r>
          </w:p>
        </w:tc>
        <w:tc>
          <w:tcPr>
            <w:tcW w:w="3223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FFFFFF" w:val="clear"/>
          </w:tcPr>
          <w:p>
            <w:pPr>
              <w:pStyle w:val="Normal"/>
              <w:jc w:val="center"/>
              <w:rPr>
                <w:rFonts w:ascii="標楷體" w:hAnsi="標楷體" w:eastAsia="標楷體" w:cs="標楷體"/>
                <w:color w:val="000000"/>
                <w:szCs w:val="24"/>
              </w:rPr>
            </w:pPr>
            <w:r>
              <w:rPr>
                <w:rFonts w:ascii="標楷體" w:hAnsi="標楷體" w:cs="標楷體" w:eastAsia="標楷體"/>
                <w:color w:val="000000"/>
                <w:szCs w:val="24"/>
              </w:rPr>
              <w:t>土地標示</w:t>
            </w:r>
          </w:p>
        </w:tc>
        <w:tc>
          <w:tcPr>
            <w:tcW w:w="904" w:type="dxa"/>
            <w:gridSpan w:val="2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spacing w:lineRule="exact" w:line="320"/>
              <w:jc w:val="center"/>
              <w:rPr>
                <w:rFonts w:ascii="標楷體" w:hAnsi="標楷體" w:eastAsia="標楷體" w:cs="標楷體"/>
                <w:color w:val="000000"/>
                <w:szCs w:val="24"/>
              </w:rPr>
            </w:pPr>
            <w:r>
              <w:rPr>
                <w:rFonts w:ascii="標楷體" w:hAnsi="標楷體" w:cs="標楷體" w:eastAsia="標楷體"/>
                <w:color w:val="000000"/>
                <w:szCs w:val="24"/>
              </w:rPr>
              <w:t>面積</w:t>
            </w:r>
          </w:p>
          <w:p>
            <w:pPr>
              <w:pStyle w:val="Normal"/>
              <w:jc w:val="center"/>
              <w:rPr>
                <w:rFonts w:ascii="標楷體" w:hAnsi="標楷體" w:eastAsia="標楷體" w:cs="標楷體"/>
                <w:color w:val="000000"/>
                <w:szCs w:val="24"/>
              </w:rPr>
            </w:pPr>
            <w:r>
              <w:rPr>
                <w:rFonts w:ascii="標楷體" w:hAnsi="標楷體" w:cs="標楷體" w:eastAsia="標楷體"/>
                <w:color w:val="000000"/>
                <w:szCs w:val="24"/>
              </w:rPr>
              <w:t>（㎡）</w:t>
            </w:r>
          </w:p>
        </w:tc>
        <w:tc>
          <w:tcPr>
            <w:tcW w:w="518" w:type="dxa"/>
            <w:gridSpan w:val="2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spacing w:lineRule="exact" w:line="320"/>
              <w:jc w:val="center"/>
              <w:rPr>
                <w:rFonts w:ascii="標楷體" w:hAnsi="標楷體" w:eastAsia="標楷體" w:cs="標楷體"/>
                <w:color w:val="000000"/>
                <w:szCs w:val="24"/>
              </w:rPr>
            </w:pPr>
            <w:r>
              <w:rPr>
                <w:rFonts w:ascii="標楷體" w:hAnsi="標楷體" w:cs="標楷體" w:eastAsia="標楷體"/>
                <w:color w:val="000000"/>
                <w:szCs w:val="24"/>
              </w:rPr>
              <w:t>權利</w:t>
            </w:r>
          </w:p>
          <w:p>
            <w:pPr>
              <w:pStyle w:val="Normal"/>
              <w:spacing w:lineRule="exact" w:line="320"/>
              <w:jc w:val="center"/>
              <w:rPr>
                <w:rFonts w:ascii="標楷體" w:hAnsi="標楷體" w:eastAsia="標楷體" w:cs="標楷體"/>
                <w:color w:val="000000"/>
                <w:szCs w:val="24"/>
              </w:rPr>
            </w:pPr>
            <w:r>
              <w:rPr>
                <w:rFonts w:ascii="標楷體" w:hAnsi="標楷體" w:cs="標楷體" w:eastAsia="標楷體"/>
                <w:color w:val="000000"/>
                <w:szCs w:val="24"/>
              </w:rPr>
              <w:t>範圍</w:t>
            </w:r>
          </w:p>
        </w:tc>
        <w:tc>
          <w:tcPr>
            <w:tcW w:w="1296" w:type="dxa"/>
            <w:gridSpan w:val="2"/>
            <w:vMerge w:val="restart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exact" w:line="320"/>
              <w:jc w:val="center"/>
              <w:rPr>
                <w:rFonts w:ascii="標楷體" w:hAnsi="標楷體" w:eastAsia="標楷體" w:cs="標楷體"/>
                <w:color w:val="000000"/>
                <w:szCs w:val="24"/>
              </w:rPr>
            </w:pPr>
            <w:r>
              <w:rPr>
                <w:rFonts w:ascii="標楷體" w:hAnsi="標楷體" w:cs="標楷體" w:eastAsia="標楷體"/>
                <w:color w:val="000000"/>
                <w:szCs w:val="24"/>
              </w:rPr>
              <w:t>都市計畫使用分區或非都市土地使用分區及使用地類別</w:t>
            </w:r>
          </w:p>
        </w:tc>
        <w:tc>
          <w:tcPr>
            <w:tcW w:w="968" w:type="dxa"/>
            <w:gridSpan w:val="2"/>
            <w:vMerge w:val="restart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exact" w:line="320"/>
              <w:rPr>
                <w:color w:val="000000"/>
              </w:rPr>
            </w:pPr>
            <w:r>
              <w:rPr>
                <w:rFonts w:ascii="標楷體" w:hAnsi="標楷體" w:eastAsia="標楷體"/>
                <w:color w:val="000000"/>
                <w:szCs w:val="24"/>
              </w:rPr>
              <w:t>完成投標設備</w:t>
            </w:r>
            <w:r>
              <w:rPr>
                <w:rFonts w:ascii="標楷體" w:hAnsi="標楷體" w:cs="標楷體" w:eastAsia="標楷體"/>
                <w:color w:val="000000"/>
                <w:szCs w:val="24"/>
              </w:rPr>
              <w:t>裝置</w:t>
            </w:r>
            <w:r>
              <w:rPr>
                <w:rFonts w:ascii="標楷體" w:hAnsi="標楷體" w:eastAsia="標楷體"/>
                <w:color w:val="000000"/>
                <w:szCs w:val="24"/>
              </w:rPr>
              <w:t>容量期限</w:t>
            </w:r>
          </w:p>
        </w:tc>
        <w:tc>
          <w:tcPr>
            <w:tcW w:w="2946" w:type="dxa"/>
            <w:vMerge w:val="restart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exact" w:line="320"/>
              <w:jc w:val="center"/>
              <w:rPr>
                <w:rFonts w:ascii="標楷體" w:hAnsi="標楷體" w:eastAsia="標楷體" w:cs="標楷體"/>
                <w:color w:val="000000"/>
                <w:szCs w:val="24"/>
              </w:rPr>
            </w:pPr>
            <w:r>
              <w:rPr>
                <w:rFonts w:eastAsia="標楷體" w:cs="標楷體" w:ascii="標楷體" w:hAnsi="標楷體"/>
                <w:color w:val="000000"/>
                <w:szCs w:val="24"/>
              </w:rPr>
            </w:r>
          </w:p>
          <w:p>
            <w:pPr>
              <w:pStyle w:val="Normal"/>
              <w:spacing w:lineRule="atLeast" w:line="400"/>
              <w:jc w:val="center"/>
              <w:rPr>
                <w:rFonts w:ascii="標楷體" w:hAnsi="標楷體" w:eastAsia="標楷體"/>
                <w:szCs w:val="24"/>
              </w:rPr>
            </w:pPr>
            <w:r>
              <w:rPr>
                <w:rFonts w:ascii="標楷體" w:hAnsi="標楷體" w:eastAsia="標楷體"/>
                <w:szCs w:val="24"/>
              </w:rPr>
              <w:t>備   註</w:t>
            </w:r>
          </w:p>
        </w:tc>
      </w:tr>
      <w:tr>
        <w:trPr>
          <w:trHeight w:val="887" w:hRule="atLeast"/>
          <w:cantSplit w:val="true"/>
        </w:trPr>
        <w:tc>
          <w:tcPr>
            <w:tcW w:w="343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7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jc w:val="center"/>
              <w:rPr>
                <w:rFonts w:ascii="標楷體" w:hAnsi="標楷體" w:eastAsia="標楷體" w:cs="標楷體"/>
                <w:szCs w:val="24"/>
              </w:rPr>
            </w:pPr>
            <w:r>
              <w:rPr>
                <w:rFonts w:ascii="標楷體" w:hAnsi="標楷體" w:cs="標楷體" w:eastAsia="標楷體"/>
                <w:szCs w:val="24"/>
              </w:rPr>
              <w:t>縣市</w:t>
            </w:r>
          </w:p>
        </w:tc>
        <w:tc>
          <w:tcPr>
            <w:tcW w:w="7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snapToGrid w:val="false"/>
              <w:spacing w:lineRule="exact" w:line="400"/>
              <w:jc w:val="center"/>
              <w:rPr>
                <w:rFonts w:ascii="標楷體" w:hAnsi="標楷體" w:eastAsia="標楷體" w:cs="標楷體"/>
                <w:szCs w:val="24"/>
              </w:rPr>
            </w:pPr>
            <w:r>
              <w:rPr>
                <w:rFonts w:ascii="標楷體" w:hAnsi="標楷體" w:cs="標楷體" w:eastAsia="標楷體"/>
                <w:szCs w:val="24"/>
              </w:rPr>
              <w:t>鄉鎮</w:t>
            </w:r>
          </w:p>
          <w:p>
            <w:pPr>
              <w:pStyle w:val="Normal"/>
              <w:spacing w:lineRule="exact" w:line="400"/>
              <w:jc w:val="center"/>
              <w:rPr>
                <w:rFonts w:ascii="標楷體" w:hAnsi="標楷體" w:eastAsia="標楷體" w:cs="標楷體"/>
                <w:szCs w:val="24"/>
              </w:rPr>
            </w:pPr>
            <w:r>
              <w:rPr>
                <w:rFonts w:ascii="標楷體" w:hAnsi="標楷體" w:cs="標楷體" w:eastAsia="標楷體"/>
                <w:szCs w:val="24"/>
              </w:rPr>
              <w:t>市區</w:t>
            </w:r>
          </w:p>
        </w:tc>
        <w:tc>
          <w:tcPr>
            <w:tcW w:w="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jc w:val="center"/>
              <w:rPr>
                <w:rFonts w:ascii="標楷體" w:hAnsi="標楷體" w:eastAsia="標楷體" w:cs="標楷體"/>
                <w:szCs w:val="24"/>
              </w:rPr>
            </w:pPr>
            <w:r>
              <w:rPr>
                <w:rFonts w:ascii="標楷體" w:hAnsi="標楷體" w:cs="標楷體" w:eastAsia="標楷體"/>
                <w:szCs w:val="24"/>
              </w:rPr>
              <w:t>段</w:t>
            </w:r>
          </w:p>
        </w:tc>
        <w:tc>
          <w:tcPr>
            <w:tcW w:w="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jc w:val="center"/>
              <w:rPr>
                <w:rFonts w:ascii="標楷體" w:hAnsi="標楷體" w:eastAsia="標楷體" w:cs="標楷體"/>
                <w:szCs w:val="24"/>
              </w:rPr>
            </w:pPr>
            <w:r>
              <w:rPr>
                <w:rFonts w:ascii="標楷體" w:hAnsi="標楷體" w:cs="標楷體" w:eastAsia="標楷體"/>
                <w:szCs w:val="24"/>
              </w:rPr>
              <w:t>小段</w:t>
            </w:r>
          </w:p>
        </w:tc>
        <w:tc>
          <w:tcPr>
            <w:tcW w:w="6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jc w:val="center"/>
              <w:rPr>
                <w:rFonts w:ascii="標楷體" w:hAnsi="標楷體" w:eastAsia="標楷體" w:cs="標楷體"/>
                <w:szCs w:val="24"/>
              </w:rPr>
            </w:pPr>
            <w:r>
              <w:rPr>
                <w:rFonts w:ascii="標楷體" w:hAnsi="標楷體" w:cs="標楷體" w:eastAsia="標楷體"/>
                <w:szCs w:val="24"/>
              </w:rPr>
              <w:t>地號</w:t>
            </w:r>
          </w:p>
        </w:tc>
        <w:tc>
          <w:tcPr>
            <w:tcW w:w="904" w:type="dxa"/>
            <w:gridSpan w:val="2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518" w:type="dxa"/>
            <w:gridSpan w:val="2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296" w:type="dxa"/>
            <w:gridSpan w:val="2"/>
            <w:vMerge w:val="continue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968" w:type="dxa"/>
            <w:gridSpan w:val="2"/>
            <w:vMerge w:val="continue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946" w:type="dxa"/>
            <w:vMerge w:val="continue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0210" w:hRule="atLeast"/>
          <w:cantSplit w:val="true"/>
        </w:trPr>
        <w:tc>
          <w:tcPr>
            <w:tcW w:w="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FFFFFF" w:val="clear"/>
            <w:vAlign w:val="center"/>
          </w:tcPr>
          <w:p>
            <w:pPr>
              <w:pStyle w:val="Style17"/>
              <w:spacing w:before="0" w:after="140"/>
              <w:jc w:val="center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  <w:t>1</w:t>
            </w:r>
          </w:p>
        </w:tc>
        <w:tc>
          <w:tcPr>
            <w:tcW w:w="7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FFFFFF" w:val="clear"/>
            <w:vAlign w:val="center"/>
          </w:tcPr>
          <w:p>
            <w:pPr>
              <w:pStyle w:val="Style17"/>
              <w:spacing w:before="0" w:after="140"/>
              <w:jc w:val="center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屏東</w:t>
            </w:r>
          </w:p>
        </w:tc>
        <w:tc>
          <w:tcPr>
            <w:tcW w:w="7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FFFFFF" w:val="clear"/>
            <w:vAlign w:val="center"/>
          </w:tcPr>
          <w:p>
            <w:pPr>
              <w:pStyle w:val="Style17"/>
              <w:spacing w:before="0" w:after="140"/>
              <w:jc w:val="center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南州</w:t>
            </w:r>
          </w:p>
        </w:tc>
        <w:tc>
          <w:tcPr>
            <w:tcW w:w="6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FFFFFF" w:val="clear"/>
            <w:vAlign w:val="center"/>
          </w:tcPr>
          <w:p>
            <w:pPr>
              <w:pStyle w:val="Style17"/>
              <w:spacing w:before="0" w:after="140"/>
              <w:jc w:val="center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三千</w:t>
            </w:r>
          </w:p>
        </w:tc>
        <w:tc>
          <w:tcPr>
            <w:tcW w:w="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FFFFFF" w:val="clear"/>
            <w:vAlign w:val="center"/>
          </w:tcPr>
          <w:p>
            <w:pPr>
              <w:pStyle w:val="Style17"/>
              <w:snapToGrid w:val="false"/>
              <w:spacing w:before="0" w:after="140"/>
              <w:jc w:val="center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  <w:tc>
          <w:tcPr>
            <w:tcW w:w="6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FFFFFF" w:val="clear"/>
            <w:vAlign w:val="center"/>
          </w:tcPr>
          <w:p>
            <w:pPr>
              <w:pStyle w:val="Style17"/>
              <w:spacing w:before="0" w:after="140"/>
              <w:jc w:val="center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  <w:t>71</w:t>
            </w:r>
          </w:p>
        </w:tc>
        <w:tc>
          <w:tcPr>
            <w:tcW w:w="8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FFFFFF" w:val="clear"/>
            <w:vAlign w:val="center"/>
          </w:tcPr>
          <w:p>
            <w:pPr>
              <w:pStyle w:val="Style17"/>
              <w:spacing w:before="0" w:after="140"/>
              <w:jc w:val="center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約</w:t>
            </w:r>
            <w:r>
              <w:rPr>
                <w:rFonts w:eastAsia="標楷體" w:cs="標楷體" w:ascii="標楷體" w:hAnsi="標楷體"/>
                <w:sz w:val="28"/>
                <w:szCs w:val="28"/>
              </w:rPr>
              <w:t>1,685</w:t>
            </w:r>
          </w:p>
        </w:tc>
        <w:tc>
          <w:tcPr>
            <w:tcW w:w="51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全</w:t>
            </w:r>
          </w:p>
        </w:tc>
        <w:tc>
          <w:tcPr>
            <w:tcW w:w="129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yle17"/>
              <w:jc w:val="center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一般農業區</w:t>
            </w:r>
          </w:p>
          <w:p>
            <w:pPr>
              <w:pStyle w:val="Style17"/>
              <w:spacing w:before="0" w:after="140"/>
              <w:jc w:val="center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水利用地</w:t>
            </w:r>
          </w:p>
        </w:tc>
        <w:tc>
          <w:tcPr>
            <w:tcW w:w="9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Normal"/>
              <w:ind w:left="36" w:hanging="36"/>
              <w:rPr>
                <w:rFonts w:ascii="標楷體" w:hAnsi="標楷體" w:eastAsia="標楷體"/>
              </w:rPr>
            </w:pPr>
            <w:r>
              <w:rPr>
                <w:rFonts w:ascii="標楷體" w:hAnsi="標楷體" w:eastAsia="標楷體"/>
                <w:color w:val="000000"/>
                <w:sz w:val="28"/>
                <w:szCs w:val="24"/>
              </w:rPr>
              <w:t>租約起租日當日起算</w:t>
            </w:r>
            <w:r>
              <w:rPr>
                <w:rFonts w:eastAsia="標楷體" w:ascii="標楷體" w:hAnsi="標楷體"/>
                <w:b/>
                <w:bCs/>
                <w:color w:val="000000"/>
                <w:sz w:val="28"/>
                <w:szCs w:val="24"/>
              </w:rPr>
              <w:t>545</w:t>
            </w:r>
            <w:r>
              <w:rPr>
                <w:rFonts w:ascii="標楷體" w:hAnsi="標楷體" w:eastAsia="標楷體"/>
                <w:color w:val="000000"/>
                <w:sz w:val="28"/>
                <w:szCs w:val="24"/>
              </w:rPr>
              <w:t>日曆天</w:t>
            </w:r>
          </w:p>
        </w:tc>
        <w:tc>
          <w:tcPr>
            <w:tcW w:w="295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Normal"/>
              <w:spacing w:lineRule="exact" w:line="300"/>
              <w:ind w:left="240" w:hanging="240"/>
              <w:rPr>
                <w:rFonts w:ascii="標楷體" w:hAnsi="標楷體" w:eastAsia="標楷體"/>
                <w:szCs w:val="24"/>
              </w:rPr>
            </w:pPr>
            <w:r>
              <w:rPr>
                <w:rFonts w:eastAsia="標楷體" w:ascii="標楷體" w:hAnsi="標楷體"/>
                <w:szCs w:val="24"/>
              </w:rPr>
              <w:t>1.</w:t>
            </w:r>
            <w:r>
              <w:rPr>
                <w:rFonts w:eastAsia="標楷體" w:cs="標楷體" w:ascii="標楷體" w:hAnsi="標楷體"/>
                <w:color w:val="000000"/>
                <w:szCs w:val="24"/>
              </w:rPr>
              <w:t>■</w:t>
            </w:r>
            <w:r>
              <w:rPr>
                <w:rFonts w:ascii="標楷體" w:hAnsi="標楷體" w:eastAsia="標楷體"/>
                <w:color w:val="000000"/>
                <w:szCs w:val="24"/>
              </w:rPr>
              <w:t>非屬基金財產。</w:t>
            </w:r>
          </w:p>
          <w:p>
            <w:pPr>
              <w:pStyle w:val="Normal"/>
              <w:spacing w:lineRule="exact" w:line="300"/>
              <w:ind w:left="240" w:hanging="240"/>
              <w:rPr>
                <w:rFonts w:ascii="標楷體" w:hAnsi="標楷體" w:eastAsia="標楷體"/>
                <w:szCs w:val="24"/>
              </w:rPr>
            </w:pPr>
            <w:r>
              <w:rPr>
                <w:rFonts w:eastAsia="標楷體" w:ascii="標楷體" w:hAnsi="標楷體"/>
                <w:szCs w:val="24"/>
              </w:rPr>
              <w:t>2.</w:t>
            </w:r>
            <w:r>
              <w:rPr>
                <w:rFonts w:ascii="標楷體" w:hAnsi="標楷體" w:eastAsia="標楷體"/>
                <w:color w:val="000000"/>
                <w:szCs w:val="24"/>
              </w:rPr>
              <w:t>本宗土地業經台灣電力股份有限公司同意保留</w:t>
            </w:r>
            <w:r>
              <w:rPr>
                <w:rFonts w:eastAsia="標楷體" w:ascii="標楷體" w:hAnsi="標楷體"/>
                <w:b/>
                <w:bCs/>
                <w:color w:val="000000"/>
                <w:szCs w:val="24"/>
              </w:rPr>
              <w:t>287</w:t>
            </w:r>
            <w:r>
              <w:rPr>
                <w:rFonts w:ascii="標楷體" w:hAnsi="標楷體" w:eastAsia="標楷體"/>
                <w:b/>
                <w:bCs/>
                <w:color w:val="000000"/>
                <w:szCs w:val="24"/>
              </w:rPr>
              <w:t>瓩</w:t>
            </w:r>
            <w:r>
              <w:rPr>
                <w:rFonts w:eastAsia="標楷體" w:ascii="標楷體" w:hAnsi="標楷體"/>
                <w:b/>
                <w:bCs/>
                <w:color w:val="000000"/>
                <w:szCs w:val="24"/>
              </w:rPr>
              <w:t>(kW)</w:t>
            </w:r>
            <w:r>
              <w:rPr>
                <w:rFonts w:ascii="標楷體" w:hAnsi="標楷體" w:eastAsia="標楷體"/>
                <w:color w:val="000000"/>
                <w:szCs w:val="24"/>
              </w:rPr>
              <w:t>饋線容量。</w:t>
            </w:r>
          </w:p>
          <w:p>
            <w:pPr>
              <w:pStyle w:val="Normal"/>
              <w:spacing w:lineRule="exact" w:line="300"/>
              <w:ind w:left="240" w:hanging="240"/>
              <w:rPr>
                <w:rFonts w:ascii="標楷體" w:hAnsi="標楷體" w:eastAsia="標楷體"/>
                <w:szCs w:val="24"/>
              </w:rPr>
            </w:pPr>
            <w:r>
              <w:rPr>
                <w:rFonts w:eastAsia="標楷體" w:ascii="標楷體" w:hAnsi="標楷體"/>
                <w:szCs w:val="24"/>
              </w:rPr>
              <w:t>3.</w:t>
            </w:r>
            <w:r>
              <w:rPr>
                <w:rFonts w:ascii="標楷體" w:hAnsi="標楷體" w:eastAsia="標楷體"/>
                <w:szCs w:val="24"/>
              </w:rPr>
              <w:t>其他：</w:t>
            </w:r>
            <w:r>
              <w:rPr>
                <w:rFonts w:ascii="標楷體" w:hAnsi="標楷體" w:cs="標楷體" w:eastAsia="標楷體"/>
                <w:color w:val="000000"/>
                <w:szCs w:val="24"/>
              </w:rPr>
              <w:t>地上為</w:t>
            </w:r>
            <w:r>
              <w:rPr>
                <w:rFonts w:ascii="標楷體" w:hAnsi="標楷體" w:cs="標楷體" w:eastAsia="標楷體"/>
                <w:b/>
                <w:bCs/>
                <w:color w:val="000000"/>
                <w:szCs w:val="24"/>
                <w:u w:val="single"/>
              </w:rPr>
              <w:t>雜草林地等</w:t>
            </w:r>
            <w:r>
              <w:rPr>
                <w:rFonts w:ascii="標楷體" w:hAnsi="標楷體" w:cs="標楷體" w:eastAsia="標楷體"/>
                <w:color w:val="000000"/>
                <w:szCs w:val="24"/>
              </w:rPr>
              <w:t>，按現狀辦理標租，地上物之騰空、拆遷補償等事宜，概由得標人自行處理並負擔相關費用，本分署不負騰空點交及瑕疵擔保之責。標脫後簽訂國有非公用土</w:t>
            </w:r>
            <w:bookmarkStart w:id="0" w:name="_GoBack"/>
            <w:bookmarkEnd w:id="0"/>
            <w:r>
              <w:rPr>
                <w:rFonts w:ascii="標楷體" w:hAnsi="標楷體" w:cs="標楷體" w:eastAsia="標楷體"/>
                <w:color w:val="000000"/>
                <w:szCs w:val="24"/>
              </w:rPr>
              <w:t>地設置太陽光電發電設備租賃契約書。</w:t>
            </w:r>
          </w:p>
          <w:p>
            <w:pPr>
              <w:pStyle w:val="Normal"/>
              <w:spacing w:lineRule="exact" w:line="300"/>
              <w:ind w:left="240" w:hanging="240"/>
              <w:rPr>
                <w:rFonts w:ascii="標楷體" w:hAnsi="標楷體" w:eastAsia="標楷體"/>
                <w:szCs w:val="24"/>
              </w:rPr>
            </w:pPr>
            <w:r>
              <w:rPr>
                <w:rFonts w:eastAsia="標楷體" w:cs="標楷體" w:ascii="標楷體" w:hAnsi="標楷體"/>
                <w:color w:val="000000"/>
                <w:szCs w:val="24"/>
              </w:rPr>
              <w:t>4.</w:t>
            </w:r>
            <w:bookmarkStart w:id="1" w:name="__DdeLink__1808_3701708517"/>
            <w:bookmarkEnd w:id="1"/>
            <w:r>
              <w:rPr>
                <w:rFonts w:ascii="標楷體" w:hAnsi="標楷體" w:cs="標楷體" w:eastAsia="標楷體"/>
                <w:szCs w:val="24"/>
              </w:rPr>
              <w:t>本案土地需配合既有饋線高壓延伸併網工程，依台電公司「再生能源加強電力網工程費用分攤原則及計算方式」負擔相關工程費用，初估費用約新臺幣</w:t>
            </w:r>
            <w:r>
              <w:rPr>
                <w:rFonts w:eastAsia="標楷體" w:cs="標楷體" w:ascii="標楷體" w:hAnsi="標楷體"/>
                <w:szCs w:val="24"/>
              </w:rPr>
              <w:t>90</w:t>
            </w:r>
            <w:r>
              <w:rPr>
                <w:rFonts w:ascii="標楷體" w:hAnsi="標楷體" w:cs="標楷體" w:eastAsia="標楷體"/>
                <w:szCs w:val="24"/>
              </w:rPr>
              <w:t>萬元</w:t>
            </w:r>
            <w:r>
              <w:rPr>
                <w:rFonts w:eastAsia="標楷體" w:cs="標楷體" w:ascii="標楷體" w:hAnsi="標楷體"/>
                <w:szCs w:val="24"/>
              </w:rPr>
              <w:t>(</w:t>
            </w:r>
            <w:r>
              <w:rPr>
                <w:rFonts w:ascii="標楷體" w:hAnsi="標楷體" w:cs="標楷體" w:eastAsia="標楷體"/>
                <w:szCs w:val="24"/>
              </w:rPr>
              <w:t>不含引接線工程費</w:t>
            </w:r>
            <w:r>
              <w:rPr>
                <w:rFonts w:eastAsia="標楷體" w:cs="標楷體" w:ascii="標楷體" w:hAnsi="標楷體"/>
                <w:szCs w:val="24"/>
              </w:rPr>
              <w:t>)</w:t>
            </w:r>
            <w:bookmarkStart w:id="2" w:name="__DdeLink__1808_37017085171"/>
            <w:r>
              <w:rPr>
                <w:rFonts w:ascii="標楷體" w:hAnsi="標楷體" w:cs="標楷體" w:eastAsia="標楷體"/>
                <w:szCs w:val="24"/>
              </w:rPr>
              <w:t>。</w:t>
            </w:r>
            <w:bookmarkEnd w:id="2"/>
            <w:r>
              <w:rPr>
                <w:rFonts w:ascii="標楷體" w:hAnsi="標楷體" w:cs="標楷體" w:eastAsia="標楷體"/>
                <w:szCs w:val="24"/>
              </w:rPr>
              <w:t>前述加強電力網工程費用初估僅供參考，如遇政府法令修改或施工路徑變更，該筆費用將重新計價，實際金額仍須依台電公司正式查定通知為準。</w:t>
            </w:r>
          </w:p>
          <w:p>
            <w:pPr>
              <w:pStyle w:val="Normal"/>
              <w:ind w:hanging="0"/>
              <w:jc w:val="left"/>
              <w:rPr>
                <w:rFonts w:ascii="標楷體" w:hAnsi="標楷體" w:eastAsia="標楷體"/>
                <w:szCs w:val="24"/>
                <w:highlight w:val="cyan"/>
              </w:rPr>
            </w:pPr>
            <w:r>
              <w:rPr>
                <w:rFonts w:eastAsia="標楷體" w:ascii="標楷體" w:hAnsi="標楷體"/>
                <w:szCs w:val="24"/>
                <w:highlight w:val="cyan"/>
              </w:rPr>
            </w:r>
          </w:p>
        </w:tc>
      </w:tr>
    </w:tbl>
    <w:p>
      <w:pPr>
        <w:pStyle w:val="Normal"/>
        <w:spacing w:lineRule="exact" w:line="400"/>
        <w:rPr/>
      </w:pPr>
      <w:r>
        <w:rPr/>
      </w:r>
    </w:p>
    <w:sectPr>
      <w:type w:val="nextPage"/>
      <w:pgSz w:w="11906" w:h="16838"/>
      <w:pgMar w:left="1080" w:right="1080" w:header="0" w:top="1440" w:footer="0" w:bottom="144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88"/>
    <w:family w:val="roman"/>
    <w:pitch w:val="variable"/>
  </w:font>
  <w:font w:name="Calibri">
    <w:charset w:val="88"/>
    <w:family w:val="roman"/>
    <w:pitch w:val="variable"/>
  </w:font>
  <w:font w:name="Liberation Sans">
    <w:altName w:val="Arial"/>
    <w:charset w:val="88"/>
    <w:family w:val="roman"/>
    <w:pitch w:val="variable"/>
  </w:font>
  <w:font w:name="標楷體">
    <w:charset w:val="88"/>
    <w:family w:val="roman"/>
    <w:pitch w:val="variable"/>
  </w:font>
</w:fonts>
</file>

<file path=word/settings.xml><?xml version="1.0" encoding="utf-8"?>
<w:settings xmlns:w="http://schemas.openxmlformats.org/wordprocessingml/2006/main">
  <w:zoom w:percent="95"/>
  <w:defaultTabStop w:val="480"/>
  <w:compat>
    <w:doNotExpandShiftReturn/>
  </w:compat>
  <w:compat>
    <w:compatSetting w:name="compatibilityMode" w:uri="http://schemas.microsoft.com/office/word" w:val="12"/>
  </w:compat>
  <w:themeFontLang w:val="en-US" w:eastAsia="zh-TW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新細明體" w:cs="Tahoma"/>
        <w:kern w:val="2"/>
        <w:szCs w:val="22"/>
        <w:lang w:val="en-US" w:eastAsia="zh-TW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 w:val="false"/>
      <w:bidi w:val="0"/>
      <w:jc w:val="left"/>
    </w:pPr>
    <w:rPr>
      <w:rFonts w:ascii="Calibri" w:hAnsi="Calibri" w:eastAsia="新細明體" w:cs="Tahoma"/>
      <w:color w:val="auto"/>
      <w:kern w:val="2"/>
      <w:sz w:val="24"/>
      <w:szCs w:val="22"/>
      <w:lang w:val="en-US" w:eastAsia="zh-TW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頁首 字元"/>
    <w:basedOn w:val="DefaultParagraphFont"/>
    <w:qFormat/>
    <w:rPr>
      <w:sz w:val="20"/>
      <w:szCs w:val="20"/>
    </w:rPr>
  </w:style>
  <w:style w:type="character" w:styleId="Style15" w:customStyle="1">
    <w:name w:val="頁尾 字元"/>
    <w:basedOn w:val="DefaultParagraphFont"/>
    <w:qFormat/>
    <w:rPr>
      <w:sz w:val="20"/>
      <w:szCs w:val="20"/>
    </w:rPr>
  </w:style>
  <w:style w:type="paragraph" w:styleId="Style16">
    <w:name w:val="標題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微軟正黑體" w:cs="Arial Unicode MS"/>
      <w:sz w:val="28"/>
      <w:szCs w:val="28"/>
    </w:rPr>
  </w:style>
  <w:style w:type="paragraph" w:styleId="Style17">
    <w:name w:val="Body Text"/>
    <w:basedOn w:val="Normal"/>
    <w:pPr>
      <w:spacing w:lineRule="auto" w:line="288" w:before="0" w:after="140"/>
    </w:pPr>
    <w:rPr/>
  </w:style>
  <w:style w:type="paragraph" w:styleId="Style18">
    <w:name w:val="List"/>
    <w:basedOn w:val="Style17"/>
    <w:pPr/>
    <w:rPr>
      <w:rFonts w:cs="Mang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Style20" w:customStyle="1">
    <w:name w:val="索引"/>
    <w:basedOn w:val="Normal"/>
    <w:qFormat/>
    <w:pPr>
      <w:suppressLineNumbers/>
    </w:pPr>
    <w:rPr>
      <w:rFonts w:cs="Mangal"/>
    </w:rPr>
  </w:style>
  <w:style w:type="paragraph" w:styleId="Style21">
    <w:name w:val="Title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微軟正黑體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Cs w:val="24"/>
    </w:rPr>
  </w:style>
  <w:style w:type="paragraph" w:styleId="Style22">
    <w:name w:val="Header"/>
    <w:basedOn w:val="Normal"/>
    <w:pPr>
      <w:tabs>
        <w:tab w:val="clear" w:pos="480"/>
        <w:tab w:val="center" w:pos="4153" w:leader="none"/>
        <w:tab w:val="right" w:pos="8306" w:leader="none"/>
      </w:tabs>
      <w:snapToGrid w:val="false"/>
    </w:pPr>
    <w:rPr>
      <w:sz w:val="20"/>
      <w:szCs w:val="20"/>
    </w:rPr>
  </w:style>
  <w:style w:type="paragraph" w:styleId="Style23">
    <w:name w:val="Footer"/>
    <w:basedOn w:val="Normal"/>
    <w:pPr>
      <w:tabs>
        <w:tab w:val="clear" w:pos="480"/>
        <w:tab w:val="center" w:pos="4153" w:leader="none"/>
        <w:tab w:val="right" w:pos="8306" w:leader="none"/>
      </w:tabs>
      <w:snapToGrid w:val="false"/>
    </w:pPr>
    <w:rPr>
      <w:sz w:val="20"/>
      <w:szCs w:val="20"/>
    </w:rPr>
  </w:style>
  <w:style w:type="paragraph" w:styleId="Style24" w:customStyle="1">
    <w:name w:val="表格內容"/>
    <w:basedOn w:val="Normal"/>
    <w:qFormat/>
    <w:pPr/>
    <w:rPr/>
  </w:style>
  <w:style w:type="paragraph" w:styleId="Style25">
    <w:name w:val="外框內容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Application>NDC_ODF_Application_Tools/2.0.4$Windows_X86_64 LibreOffice_project/ace8b54cb4771cd6636f2ccb1aac7c9dad875112</Application>
  <Pages>1</Pages>
  <Words>414</Words>
  <Characters>434</Characters>
  <CharactersWithSpaces>441</CharactersWithSpaces>
  <Paragraphs>32</Paragraphs>
  <Company>財政部國有財產署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2019-05-01T03:48:00Z</dcterms:created>
  <dc:creator>AN2154</dc:creator>
  <dc:description/>
  <dc:language>zh-TW</dc:language>
  <cp:lastModifiedBy/>
  <cp:lastPrinted>2021-11-25T10:12:00Z</cp:lastPrinted>
  <dcterms:modified xsi:type="dcterms:W3CDTF">2022-05-13T10:28:44Z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財政部國有財產署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