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標楷體" w:hAnsi="標楷體" w:eastAsia="標楷體" w:cs="Times New Roman"/>
          <w:b/>
          <w:b/>
          <w:color w:val="000000" w:themeColor="text1"/>
          <w:sz w:val="36"/>
        </w:rPr>
      </w:pPr>
      <w:r>
        <mc:AlternateContent>
          <mc:Choice Requires="wps">
            <w:drawing>
              <wp:anchor behindDoc="0" distT="0" distB="0" distL="0" distR="0" simplePos="0" locked="0" layoutInCell="0" allowOverlap="1" relativeHeight="2">
                <wp:simplePos x="0" y="0"/>
                <wp:positionH relativeFrom="column">
                  <wp:posOffset>38100</wp:posOffset>
                </wp:positionH>
                <wp:positionV relativeFrom="paragraph">
                  <wp:posOffset>-38100</wp:posOffset>
                </wp:positionV>
                <wp:extent cx="5756910" cy="802640"/>
                <wp:effectExtent l="0" t="0" r="0" b="0"/>
                <wp:wrapNone/>
                <wp:docPr id="1" name="影像1"/>
                <a:graphic xmlns:a="http://schemas.openxmlformats.org/drawingml/2006/main">
                  <a:graphicData uri="http://schemas.microsoft.com/office/word/2010/wordprocessingShape">
                    <wps:wsp>
                      <wps:cNvSpPr/>
                      <wps:spPr>
                        <a:xfrm>
                          <a:off x="0" y="0"/>
                          <a:ext cx="5756400" cy="802080"/>
                        </a:xfrm>
                        <a:prstGeom prst="rect">
                          <a:avLst/>
                        </a:prstGeom>
                        <a:solidFill>
                          <a:srgbClr val="ffffff"/>
                        </a:solidFill>
                        <a:ln w="635">
                          <a:solidFill>
                            <a:srgbClr val="000000"/>
                          </a:solidFill>
                          <a:round/>
                        </a:ln>
                      </wps:spPr>
                      <wps:style>
                        <a:lnRef idx="0"/>
                        <a:fillRef idx="0"/>
                        <a:effectRef idx="0"/>
                        <a:fontRef idx="minor"/>
                      </wps:style>
                      <wps:txbx>
                        <w:txbxContent>
                          <w:p>
                            <w:pPr>
                              <w:pStyle w:val="Style31"/>
                              <w:rPr>
                                <w:rFonts w:ascii="標楷體" w:hAnsi="標楷體" w:eastAsia="標楷體"/>
                                <w:color w:val="FF0000"/>
                              </w:rPr>
                            </w:pPr>
                            <w:r>
                              <w:rPr>
                                <w:rFonts w:ascii="標楷體" w:hAnsi="標楷體" w:eastAsia="標楷體"/>
                              </w:rPr>
                              <w:t xml:space="preserve">說明：                                                       </w:t>
                            </w:r>
                            <w:r>
                              <w:rPr>
                                <w:rFonts w:eastAsia="標楷體" w:ascii="標楷體" w:hAnsi="標楷體"/>
                                <w:color w:val="FF0000"/>
                                <w:sz w:val="20"/>
                                <w:szCs w:val="20"/>
                              </w:rPr>
                              <w:t>112</w:t>
                            </w:r>
                            <w:r>
                              <w:rPr>
                                <w:rFonts w:ascii="標楷體" w:hAnsi="標楷體" w:eastAsia="標楷體"/>
                                <w:color w:val="FF0000"/>
                                <w:sz w:val="20"/>
                                <w:szCs w:val="20"/>
                              </w:rPr>
                              <w:t>年</w:t>
                            </w:r>
                            <w:r>
                              <w:rPr>
                                <w:rFonts w:eastAsia="標楷體" w:ascii="標楷體" w:hAnsi="標楷體"/>
                                <w:color w:val="FF0000"/>
                                <w:sz w:val="20"/>
                                <w:szCs w:val="20"/>
                              </w:rPr>
                              <w:t>8</w:t>
                            </w:r>
                            <w:r>
                              <w:rPr>
                                <w:rFonts w:ascii="標楷體" w:hAnsi="標楷體" w:eastAsia="標楷體"/>
                                <w:color w:val="FF0000"/>
                                <w:sz w:val="20"/>
                                <w:szCs w:val="20"/>
                              </w:rPr>
                              <w:t>月修正</w:t>
                            </w:r>
                          </w:p>
                          <w:p>
                            <w:pPr>
                              <w:pStyle w:val="Style31"/>
                              <w:numPr>
                                <w:ilvl w:val="0"/>
                                <w:numId w:val="25"/>
                              </w:numPr>
                              <w:rPr>
                                <w:rFonts w:ascii="標楷體" w:hAnsi="標楷體" w:eastAsia="標楷體"/>
                              </w:rPr>
                            </w:pPr>
                            <w:r>
                              <w:rPr>
                                <w:rFonts w:ascii="標楷體" w:hAnsi="標楷體" w:eastAsia="標楷體"/>
                                <w:highlight w:val="yellow"/>
                              </w:rPr>
                              <w:t>黃底色塊</w:t>
                            </w:r>
                            <w:r>
                              <w:rPr>
                                <w:rFonts w:ascii="標楷體" w:hAnsi="標楷體" w:eastAsia="標楷體"/>
                              </w:rPr>
                              <w:t>為標租機關填明。</w:t>
                            </w:r>
                          </w:p>
                          <w:p>
                            <w:pPr>
                              <w:pStyle w:val="Style31"/>
                              <w:numPr>
                                <w:ilvl w:val="0"/>
                                <w:numId w:val="25"/>
                              </w:numPr>
                              <w:rPr>
                                <w:rFonts w:ascii="標楷體" w:hAnsi="標楷體" w:eastAsia="標楷體"/>
                              </w:rPr>
                            </w:pPr>
                            <w:r>
                              <w:rPr>
                                <w:rFonts w:ascii="標楷體" w:hAnsi="標楷體" w:eastAsia="標楷體"/>
                                <w:shd w:fill="66FFFF" w:val="clear"/>
                              </w:rPr>
                              <w:t>藍底色塊</w:t>
                            </w:r>
                            <w:r>
                              <w:rPr>
                                <w:rFonts w:ascii="標楷體" w:hAnsi="標楷體" w:eastAsia="標楷體"/>
                              </w:rPr>
                              <w:t>為</w:t>
                            </w:r>
                            <w:r>
                              <w:rPr>
                                <w:rFonts w:ascii="標楷體" w:hAnsi="標楷體" w:eastAsia="標楷體"/>
                                <w:color w:val="000000" w:themeColor="text1"/>
                              </w:rPr>
                              <w:t>數值計算或填載方式之</w:t>
                            </w:r>
                            <w:r>
                              <w:rPr>
                                <w:rFonts w:ascii="標楷體" w:hAnsi="標楷體" w:eastAsia="標楷體"/>
                              </w:rPr>
                              <w:t>補充說明，簽約時應刪除。</w:t>
                            </w:r>
                          </w:p>
                          <w:p>
                            <w:pPr>
                              <w:pStyle w:val="Style31"/>
                              <w:rPr>
                                <w:rFonts w:ascii="標楷體" w:hAnsi="標楷體" w:eastAsia="標楷體"/>
                              </w:rPr>
                            </w:pPr>
                            <w:r>
                              <w:rPr/>
                            </w:r>
                          </w:p>
                        </w:txbxContent>
                      </wps:txbx>
                      <wps:bodyPr>
                        <a:noAutofit/>
                      </wps:bodyPr>
                    </wps:wsp>
                  </a:graphicData>
                </a:graphic>
              </wp:anchor>
            </w:drawing>
          </mc:Choice>
          <mc:Fallback>
            <w:pict>
              <v:rect id="shape_0" ID="影像1" path="m0,0l-2147483645,0l-2147483645,-2147483646l0,-2147483646xe" fillcolor="white" stroked="t" style="position:absolute;margin-left:3pt;margin-top:-3pt;width:453.2pt;height:63.1pt;mso-wrap-style:square;v-text-anchor:top">
                <v:fill o:detectmouseclick="t" type="solid" color2="black"/>
                <v:stroke color="black" weight="720" joinstyle="round" endcap="flat"/>
                <v:textbox>
                  <w:txbxContent>
                    <w:p>
                      <w:pPr>
                        <w:pStyle w:val="Style31"/>
                        <w:rPr>
                          <w:rFonts w:ascii="標楷體" w:hAnsi="標楷體" w:eastAsia="標楷體"/>
                          <w:color w:val="FF0000"/>
                        </w:rPr>
                      </w:pPr>
                      <w:r>
                        <w:rPr>
                          <w:rFonts w:ascii="標楷體" w:hAnsi="標楷體" w:eastAsia="標楷體"/>
                        </w:rPr>
                        <w:t xml:space="preserve">說明：                                                       </w:t>
                      </w:r>
                      <w:r>
                        <w:rPr>
                          <w:rFonts w:eastAsia="標楷體" w:ascii="標楷體" w:hAnsi="標楷體"/>
                          <w:color w:val="FF0000"/>
                          <w:sz w:val="20"/>
                          <w:szCs w:val="20"/>
                        </w:rPr>
                        <w:t>112</w:t>
                      </w:r>
                      <w:r>
                        <w:rPr>
                          <w:rFonts w:ascii="標楷體" w:hAnsi="標楷體" w:eastAsia="標楷體"/>
                          <w:color w:val="FF0000"/>
                          <w:sz w:val="20"/>
                          <w:szCs w:val="20"/>
                        </w:rPr>
                        <w:t>年</w:t>
                      </w:r>
                      <w:r>
                        <w:rPr>
                          <w:rFonts w:eastAsia="標楷體" w:ascii="標楷體" w:hAnsi="標楷體"/>
                          <w:color w:val="FF0000"/>
                          <w:sz w:val="20"/>
                          <w:szCs w:val="20"/>
                        </w:rPr>
                        <w:t>8</w:t>
                      </w:r>
                      <w:r>
                        <w:rPr>
                          <w:rFonts w:ascii="標楷體" w:hAnsi="標楷體" w:eastAsia="標楷體"/>
                          <w:color w:val="FF0000"/>
                          <w:sz w:val="20"/>
                          <w:szCs w:val="20"/>
                        </w:rPr>
                        <w:t>月修正</w:t>
                      </w:r>
                    </w:p>
                    <w:p>
                      <w:pPr>
                        <w:pStyle w:val="Style31"/>
                        <w:numPr>
                          <w:ilvl w:val="0"/>
                          <w:numId w:val="25"/>
                        </w:numPr>
                        <w:rPr>
                          <w:rFonts w:ascii="標楷體" w:hAnsi="標楷體" w:eastAsia="標楷體"/>
                        </w:rPr>
                      </w:pPr>
                      <w:r>
                        <w:rPr>
                          <w:rFonts w:ascii="標楷體" w:hAnsi="標楷體" w:eastAsia="標楷體"/>
                          <w:highlight w:val="yellow"/>
                        </w:rPr>
                        <w:t>黃底色塊</w:t>
                      </w:r>
                      <w:r>
                        <w:rPr>
                          <w:rFonts w:ascii="標楷體" w:hAnsi="標楷體" w:eastAsia="標楷體"/>
                        </w:rPr>
                        <w:t>為標租機關填明。</w:t>
                      </w:r>
                    </w:p>
                    <w:p>
                      <w:pPr>
                        <w:pStyle w:val="Style31"/>
                        <w:numPr>
                          <w:ilvl w:val="0"/>
                          <w:numId w:val="25"/>
                        </w:numPr>
                        <w:rPr>
                          <w:rFonts w:ascii="標楷體" w:hAnsi="標楷體" w:eastAsia="標楷體"/>
                        </w:rPr>
                      </w:pPr>
                      <w:r>
                        <w:rPr>
                          <w:rFonts w:ascii="標楷體" w:hAnsi="標楷體" w:eastAsia="標楷體"/>
                          <w:shd w:fill="66FFFF" w:val="clear"/>
                        </w:rPr>
                        <w:t>藍底色塊</w:t>
                      </w:r>
                      <w:r>
                        <w:rPr>
                          <w:rFonts w:ascii="標楷體" w:hAnsi="標楷體" w:eastAsia="標楷體"/>
                        </w:rPr>
                        <w:t>為</w:t>
                      </w:r>
                      <w:r>
                        <w:rPr>
                          <w:rFonts w:ascii="標楷體" w:hAnsi="標楷體" w:eastAsia="標楷體"/>
                          <w:color w:val="000000" w:themeColor="text1"/>
                        </w:rPr>
                        <w:t>數值計算或填載方式之</w:t>
                      </w:r>
                      <w:r>
                        <w:rPr>
                          <w:rFonts w:ascii="標楷體" w:hAnsi="標楷體" w:eastAsia="標楷體"/>
                        </w:rPr>
                        <w:t>補充說明，簽約時應刪除。</w:t>
                      </w:r>
                    </w:p>
                    <w:p>
                      <w:pPr>
                        <w:pStyle w:val="Style31"/>
                        <w:rPr>
                          <w:rFonts w:ascii="標楷體" w:hAnsi="標楷體" w:eastAsia="標楷體"/>
                        </w:rPr>
                      </w:pPr>
                      <w:r>
                        <w:rPr/>
                      </w:r>
                    </w:p>
                  </w:txbxContent>
                </v:textbox>
                <w10:wrap type="none"/>
              </v:rect>
            </w:pict>
          </mc:Fallback>
        </mc:AlternateContent>
      </w:r>
      <w:r>
        <w:rPr>
          <w:rFonts w:ascii="標楷體" w:hAnsi="標楷體" w:cs="Times New Roman" w:eastAsia="標楷體"/>
          <w:b/>
          <w:color w:val="000000" w:themeColor="text1"/>
          <w:sz w:val="36"/>
        </w:rPr>
        <w:t xml:space="preserve"> </w:t>
      </w:r>
    </w:p>
    <w:p>
      <w:pPr>
        <w:pStyle w:val="Normal"/>
        <w:jc w:val="center"/>
        <w:rPr>
          <w:rFonts w:ascii="標楷體" w:hAnsi="標楷體" w:eastAsia="標楷體" w:cs="Times New Roman"/>
          <w:b/>
          <w:b/>
          <w:color w:val="000000" w:themeColor="text1"/>
          <w:sz w:val="36"/>
        </w:rPr>
      </w:pPr>
      <w:r>
        <w:rPr>
          <w:rFonts w:eastAsia="標楷體" w:cs="Times New Roman" w:ascii="標楷體" w:hAnsi="標楷體"/>
          <w:b/>
          <w:color w:val="000000" w:themeColor="text1"/>
          <w:sz w:val="36"/>
        </w:rPr>
      </w:r>
    </w:p>
    <w:p>
      <w:pPr>
        <w:pStyle w:val="Normal"/>
        <w:jc w:val="center"/>
        <w:rPr>
          <w:rFonts w:ascii="標楷體" w:hAnsi="標楷體" w:eastAsia="標楷體" w:cs="Times New Roman"/>
          <w:b/>
          <w:b/>
          <w:color w:val="000000" w:themeColor="text1"/>
          <w:sz w:val="36"/>
          <w:szCs w:val="36"/>
        </w:rPr>
      </w:pPr>
      <w:r>
        <w:rPr>
          <w:rFonts w:ascii="標楷體" w:hAnsi="標楷體" w:cs="Times New Roman" w:eastAsia="標楷體"/>
          <w:b/>
          <w:color w:val="000000" w:themeColor="text1"/>
          <w:sz w:val="36"/>
          <w:szCs w:val="36"/>
        </w:rPr>
        <w:t>國有非公用土地設置太陽光電發電設備租賃契約書</w:t>
      </w:r>
    </w:p>
    <w:p>
      <w:pPr>
        <w:pStyle w:val="Normal"/>
        <w:spacing w:lineRule="exact" w:line="480"/>
        <w:jc w:val="both"/>
        <w:rPr>
          <w:rFonts w:ascii="標楷體" w:hAnsi="標楷體" w:eastAsia="標楷體" w:cs="Times New Roman"/>
          <w:color w:val="000000" w:themeColor="text1"/>
          <w:sz w:val="28"/>
          <w:szCs w:val="20"/>
        </w:rPr>
      </w:pPr>
      <w:r>
        <w:rPr>
          <w:rFonts w:ascii="標楷體" w:hAnsi="標楷體" w:cs="Times New Roman" w:eastAsia="標楷體"/>
          <w:color w:val="000000" w:themeColor="text1"/>
          <w:sz w:val="28"/>
          <w:szCs w:val="20"/>
        </w:rPr>
        <w:t>標租機關財政部國有財產署</w:t>
      </w:r>
      <w:r>
        <w:rPr>
          <w:rFonts w:ascii="標楷體" w:hAnsi="標楷體" w:cs="Times New Roman" w:eastAsia="標楷體"/>
          <w:color w:val="000000" w:themeColor="text1"/>
          <w:sz w:val="28"/>
          <w:szCs w:val="20"/>
          <w:highlight w:val="yellow"/>
        </w:rPr>
        <w:t>○</w:t>
      </w:r>
      <w:r>
        <w:rPr>
          <w:rFonts w:ascii="標楷體" w:hAnsi="標楷體" w:cs="Times New Roman" w:eastAsia="標楷體"/>
          <w:color w:val="000000" w:themeColor="text1"/>
          <w:sz w:val="28"/>
          <w:szCs w:val="20"/>
        </w:rPr>
        <w:t>區分署（以下簡稱甲方）及承租廠商</w:t>
      </w:r>
      <w:r>
        <w:rPr>
          <w:rFonts w:ascii="標楷體" w:hAnsi="標楷體" w:cs="Times New Roman" w:eastAsia="標楷體"/>
          <w:color w:val="000000" w:themeColor="text1"/>
          <w:sz w:val="28"/>
          <w:szCs w:val="20"/>
          <w:highlight w:val="yellow"/>
        </w:rPr>
        <w:t>○○○</w:t>
      </w:r>
      <w:r>
        <w:rPr>
          <w:rFonts w:ascii="標楷體" w:hAnsi="標楷體" w:cs="Times New Roman" w:eastAsia="標楷體"/>
          <w:color w:val="000000" w:themeColor="text1"/>
          <w:sz w:val="28"/>
          <w:szCs w:val="20"/>
        </w:rPr>
        <w:t>（以下簡稱乙方），因執行標租國有非公用土地設置太陽光電發電設備使用，同意訂定本租賃契約（以下簡稱租約），共同遵守，其條款如下：</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本</w:t>
      </w:r>
      <w:r>
        <w:rPr>
          <w:rFonts w:ascii="標楷體" w:hAnsi="標楷體" w:cs="Times New Roman" w:eastAsia="標楷體"/>
          <w:color w:val="000000" w:themeColor="text1"/>
          <w:w w:val="102"/>
          <w:kern w:val="0"/>
          <w:sz w:val="28"/>
          <w:szCs w:val="28"/>
        </w:rPr>
        <w:t>租約</w:t>
      </w:r>
      <w:r>
        <w:rPr>
          <w:rFonts w:ascii="標楷體" w:hAnsi="標楷體" w:cs="Times New Roman" w:eastAsia="標楷體"/>
          <w:color w:val="000000" w:themeColor="text1"/>
          <w:spacing w:val="-2"/>
          <w:w w:val="101"/>
          <w:kern w:val="0"/>
          <w:sz w:val="28"/>
          <w:szCs w:val="28"/>
        </w:rPr>
        <w:t>用</w:t>
      </w:r>
      <w:r>
        <w:rPr>
          <w:rFonts w:ascii="標楷體" w:hAnsi="標楷體" w:cs="Times New Roman" w:eastAsia="標楷體"/>
          <w:color w:val="000000" w:themeColor="text1"/>
          <w:w w:val="101"/>
          <w:kern w:val="0"/>
          <w:sz w:val="28"/>
          <w:szCs w:val="28"/>
        </w:rPr>
        <w:t>詞定</w:t>
      </w:r>
      <w:r>
        <w:rPr>
          <w:rFonts w:ascii="標楷體" w:hAnsi="標楷體" w:cs="Times New Roman" w:eastAsia="標楷體"/>
          <w:color w:val="000000" w:themeColor="text1"/>
          <w:spacing w:val="-2"/>
          <w:w w:val="101"/>
          <w:kern w:val="0"/>
          <w:sz w:val="28"/>
          <w:szCs w:val="28"/>
        </w:rPr>
        <w:t>義如</w:t>
      </w:r>
      <w:r>
        <w:rPr>
          <w:rFonts w:ascii="標楷體" w:hAnsi="標楷體" w:cs="Times New Roman" w:eastAsia="標楷體"/>
          <w:color w:val="000000" w:themeColor="text1"/>
          <w:w w:val="101"/>
          <w:kern w:val="0"/>
          <w:sz w:val="28"/>
          <w:szCs w:val="28"/>
        </w:rPr>
        <w:t>下：</w:t>
      </w:r>
    </w:p>
    <w:p>
      <w:pPr>
        <w:pStyle w:val="ListParagraph"/>
        <w:numPr>
          <w:ilvl w:val="0"/>
          <w:numId w:val="4"/>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太陽光電發電設備：指利用太陽電池轉換太陽光能為電能之發電設備。</w:t>
      </w:r>
    </w:p>
    <w:p>
      <w:pPr>
        <w:pStyle w:val="ListParagraph"/>
        <w:numPr>
          <w:ilvl w:val="0"/>
          <w:numId w:val="4"/>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峰瓩（</w:t>
      </w:r>
      <w:r>
        <w:rPr>
          <w:rFonts w:eastAsia="標楷體" w:cs="Times New Roman" w:ascii="標楷體" w:hAnsi="標楷體"/>
          <w:color w:val="000000" w:themeColor="text1"/>
          <w:kern w:val="0"/>
          <w:sz w:val="28"/>
          <w:szCs w:val="28"/>
        </w:rPr>
        <w:t>kWp</w:t>
      </w:r>
      <w:r>
        <w:rPr>
          <w:rFonts w:ascii="標楷體" w:hAnsi="標楷體" w:cs="Times New Roman" w:eastAsia="標楷體"/>
          <w:color w:val="000000" w:themeColor="text1"/>
          <w:kern w:val="0"/>
          <w:sz w:val="28"/>
          <w:szCs w:val="28"/>
        </w:rPr>
        <w:t>）：指太陽光電發電設備裝置容量計算單位，為裝設之太陽光電模組於標準狀況（模組溫度攝氏二十五度，空氣大氣光程</w:t>
      </w:r>
      <w:r>
        <w:rPr>
          <w:rFonts w:eastAsia="標楷體" w:cs="Times New Roman" w:ascii="標楷體" w:hAnsi="標楷體"/>
          <w:color w:val="000000" w:themeColor="text1"/>
          <w:kern w:val="0"/>
          <w:sz w:val="28"/>
          <w:szCs w:val="28"/>
        </w:rPr>
        <w:t>A.M.</w:t>
      </w:r>
      <w:r>
        <w:rPr>
          <w:rFonts w:ascii="標楷體" w:hAnsi="標楷體" w:cs="Times New Roman" w:eastAsia="標楷體"/>
          <w:color w:val="000000" w:themeColor="text1"/>
          <w:kern w:val="0"/>
          <w:sz w:val="28"/>
          <w:szCs w:val="28"/>
        </w:rPr>
        <w:t>一點五，太陽日照強度一千</w:t>
      </w:r>
      <w:r>
        <w:rPr>
          <w:rFonts w:eastAsia="標楷體" w:cs="Times New Roman" w:ascii="標楷體" w:hAnsi="標楷體"/>
          <w:color w:val="000000" w:themeColor="text1"/>
          <w:kern w:val="0"/>
          <w:sz w:val="28"/>
          <w:szCs w:val="28"/>
        </w:rPr>
        <w:t>W/</w:t>
      </w:r>
      <w:r>
        <w:rPr>
          <w:rFonts w:ascii="標楷體" w:hAnsi="標楷體" w:cs="Times New Roman" w:eastAsia="標楷體"/>
          <w:color w:val="000000" w:themeColor="text1"/>
          <w:kern w:val="0"/>
          <w:sz w:val="28"/>
          <w:szCs w:val="28"/>
        </w:rPr>
        <w:t>㎡）下的額定功率輸出。</w:t>
      </w:r>
    </w:p>
    <w:p>
      <w:pPr>
        <w:pStyle w:val="ListParagraph"/>
        <w:numPr>
          <w:ilvl w:val="0"/>
          <w:numId w:val="4"/>
        </w:numPr>
        <w:snapToGrid w:val="false"/>
        <w:spacing w:lineRule="exact" w:line="400"/>
        <w:jc w:val="both"/>
        <w:rPr>
          <w:rFonts w:ascii="標楷體" w:hAnsi="標楷體" w:eastAsia="標楷體" w:cs="Times New Roman"/>
          <w:kern w:val="0"/>
          <w:sz w:val="28"/>
          <w:szCs w:val="28"/>
        </w:rPr>
      </w:pPr>
      <w:r>
        <w:rPr>
          <w:rFonts w:ascii="標楷體" w:hAnsi="標楷體" w:eastAsia="標楷體"/>
          <w:sz w:val="28"/>
          <w:szCs w:val="28"/>
        </w:rPr>
        <w:t>年租金：指乙方租用國有非公用土地支付之對價，</w:t>
      </w:r>
      <w:r>
        <w:rPr>
          <w:rFonts w:ascii="標楷體" w:hAnsi="標楷體" w:cs="標楷體" w:eastAsia="標楷體"/>
          <w:sz w:val="28"/>
          <w:szCs w:val="28"/>
        </w:rPr>
        <w:t>按得標回饋金比率與太陽光電發電設備售電收入之乘積值計收（即</w:t>
      </w:r>
      <w:r>
        <w:rPr>
          <w:rFonts w:ascii="標楷體" w:hAnsi="標楷體" w:eastAsia="標楷體"/>
          <w:sz w:val="28"/>
          <w:szCs w:val="28"/>
        </w:rPr>
        <w:t>回饋金</w:t>
      </w:r>
      <w:r>
        <w:rPr>
          <w:rFonts w:ascii="標楷體" w:hAnsi="標楷體" w:cs="標楷體" w:eastAsia="標楷體"/>
          <w:sz w:val="28"/>
          <w:szCs w:val="28"/>
        </w:rPr>
        <w:t>）。但在標租公告完成設置期限前確未完成設置者，得按土地當期依法應繳納之地價稅計收。</w:t>
      </w:r>
    </w:p>
    <w:p>
      <w:pPr>
        <w:pStyle w:val="ListParagraph"/>
        <w:numPr>
          <w:ilvl w:val="0"/>
          <w:numId w:val="4"/>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補償金：指租賃關係消滅，乙方未依本租約約定騰空返還而無權繼續使用國有非公用土地，應繳納前一年度年租金（回饋金）一點五倍之金額。但低於依法令規定逕予出租之年租金時，改按法令規定逕予出租之年租金計收（未滿一年者按日數比例計算）。</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租賃範圍：</w:t>
      </w:r>
    </w:p>
    <w:p>
      <w:pPr>
        <w:pStyle w:val="ListParagraph"/>
        <w:numPr>
          <w:ilvl w:val="0"/>
          <w:numId w:val="12"/>
        </w:numPr>
        <w:snapToGrid w:val="false"/>
        <w:spacing w:lineRule="exact" w:line="400"/>
        <w:ind w:left="1287" w:hanging="578"/>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詳租賃標的清冊（投標須知附件</w:t>
      </w:r>
      <w:r>
        <w:rPr>
          <w:rFonts w:eastAsia="標楷體" w:ascii="標楷體" w:hAnsi="標楷體"/>
          <w:color w:val="000000" w:themeColor="text1"/>
          <w:sz w:val="28"/>
          <w:szCs w:val="28"/>
        </w:rPr>
        <w:t>1</w:t>
      </w:r>
      <w:r>
        <w:rPr>
          <w:rFonts w:ascii="標楷體" w:hAnsi="標楷體" w:eastAsia="標楷體"/>
          <w:color w:val="000000" w:themeColor="text1"/>
          <w:sz w:val="28"/>
          <w:szCs w:val="28"/>
        </w:rPr>
        <w:t>）</w:t>
      </w:r>
      <w:r>
        <w:rPr>
          <w:rFonts w:ascii="標楷體" w:hAnsi="標楷體" w:eastAsia="標楷體"/>
          <w:sz w:val="28"/>
          <w:szCs w:val="28"/>
        </w:rPr>
        <w:t>，乙方</w:t>
      </w:r>
      <w:r>
        <w:rPr>
          <w:rFonts w:ascii="標楷體" w:hAnsi="標楷體" w:eastAsia="標楷體"/>
          <w:kern w:val="0"/>
          <w:sz w:val="28"/>
          <w:szCs w:val="28"/>
        </w:rPr>
        <w:t>保證於投標前已詳細研析法令並向目的事業主管機關查閱</w:t>
      </w:r>
      <w:r>
        <w:rPr>
          <w:rFonts w:ascii="標楷體" w:hAnsi="標楷體" w:eastAsia="標楷體"/>
          <w:sz w:val="28"/>
          <w:szCs w:val="28"/>
        </w:rPr>
        <w:t>本租約租賃土地</w:t>
      </w:r>
      <w:r>
        <w:rPr>
          <w:rFonts w:ascii="標楷體" w:hAnsi="標楷體" w:cs="標楷體" w:eastAsia="標楷體"/>
          <w:sz w:val="28"/>
          <w:szCs w:val="28"/>
        </w:rPr>
        <w:t>都市計畫使用分區使用審查規定，或非都市土地使用分區與使用地類別及其容許使用項目</w:t>
      </w:r>
      <w:r>
        <w:rPr>
          <w:rFonts w:ascii="標楷體" w:hAnsi="標楷體" w:eastAsia="標楷體"/>
          <w:kern w:val="0"/>
          <w:sz w:val="28"/>
          <w:szCs w:val="28"/>
        </w:rPr>
        <w:t>，暨評估使用分區或使用地類別變更之可行性，並</w:t>
      </w:r>
      <w:r>
        <w:rPr>
          <w:rFonts w:ascii="標楷體" w:hAnsi="標楷體" w:eastAsia="標楷體"/>
          <w:sz w:val="28"/>
          <w:szCs w:val="28"/>
        </w:rPr>
        <w:t>應依都市計畫法暨同法當地施行細則、非都市土地使用管制規則、</w:t>
      </w:r>
      <w:r>
        <w:rPr>
          <w:rFonts w:ascii="標楷體" w:hAnsi="標楷體" w:cs="新細明體" w:eastAsia="標楷體"/>
          <w:kern w:val="0"/>
          <w:sz w:val="28"/>
          <w:szCs w:val="28"/>
        </w:rPr>
        <w:t>非都市土地申請變更為太陽光電發電設施使用興辦事業計畫審查作業要點及</w:t>
      </w:r>
      <w:r>
        <w:rPr>
          <w:rFonts w:ascii="標楷體" w:hAnsi="標楷體" w:eastAsia="標楷體"/>
          <w:sz w:val="28"/>
          <w:szCs w:val="28"/>
        </w:rPr>
        <w:t>非都市土地開發審議作業規範</w:t>
      </w:r>
      <w:r>
        <w:rPr>
          <w:rFonts w:ascii="標楷體" w:hAnsi="標楷體" w:eastAsia="標楷體"/>
          <w:kern w:val="0"/>
          <w:sz w:val="28"/>
          <w:szCs w:val="28"/>
        </w:rPr>
        <w:t>等相關法令規定辦理，其擬具之書圖文件及辦理</w:t>
      </w:r>
      <w:r>
        <w:rPr>
          <w:rFonts w:ascii="標楷體" w:hAnsi="標楷體" w:eastAsia="標楷體"/>
          <w:sz w:val="28"/>
          <w:szCs w:val="28"/>
        </w:rPr>
        <w:t>使用分區或使用地類別變更異動登記等所需之相關費用，由乙方全額負擔。</w:t>
      </w:r>
    </w:p>
    <w:p>
      <w:pPr>
        <w:pStyle w:val="ListParagraph"/>
        <w:numPr>
          <w:ilvl w:val="0"/>
          <w:numId w:val="1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租賃土地，甲方以現狀交付</w:t>
      </w:r>
      <w:r>
        <w:rPr>
          <w:rFonts w:ascii="標楷體" w:hAnsi="標楷體" w:cs="Times New Roman" w:eastAsia="標楷體"/>
          <w:color w:val="000000" w:themeColor="text1"/>
          <w:sz w:val="28"/>
          <w:szCs w:val="20"/>
        </w:rPr>
        <w:t>乙方</w:t>
      </w:r>
      <w:r>
        <w:rPr>
          <w:rFonts w:ascii="標楷體" w:hAnsi="標楷體" w:eastAsia="標楷體"/>
          <w:color w:val="000000" w:themeColor="text1"/>
          <w:sz w:val="28"/>
          <w:szCs w:val="28"/>
        </w:rPr>
        <w:t>使用收益。地上物之騰空、拆遷或補償等事項由乙方自行處理並負擔相關費用</w:t>
      </w:r>
      <w:r>
        <w:rPr>
          <w:rFonts w:ascii="標楷體" w:hAnsi="標楷體" w:cs="Times New Roman" w:eastAsia="標楷體"/>
          <w:color w:val="000000" w:themeColor="text1"/>
          <w:kern w:val="0"/>
          <w:sz w:val="28"/>
          <w:szCs w:val="28"/>
        </w:rPr>
        <w:t>。</w:t>
      </w:r>
    </w:p>
    <w:p>
      <w:pPr>
        <w:pStyle w:val="ListParagraph"/>
        <w:numPr>
          <w:ilvl w:val="0"/>
          <w:numId w:val="1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乙方使用租賃土地需鑑界時，應向甲方申請發給土地複丈申請書後，自行向地政機關繳費申請鑑界。</w:t>
      </w:r>
    </w:p>
    <w:p>
      <w:pPr>
        <w:pStyle w:val="ListParagraph"/>
        <w:numPr>
          <w:ilvl w:val="0"/>
          <w:numId w:val="12"/>
        </w:numPr>
        <w:snapToGrid w:val="false"/>
        <w:spacing w:lineRule="exact" w:line="400"/>
        <w:ind w:left="1287" w:hanging="578"/>
        <w:jc w:val="both"/>
        <w:rPr>
          <w:rFonts w:ascii="標楷體" w:hAnsi="標楷體" w:eastAsia="標楷體" w:cs="Times New Roman"/>
          <w:kern w:val="0"/>
          <w:sz w:val="28"/>
          <w:szCs w:val="28"/>
        </w:rPr>
      </w:pPr>
      <w:r>
        <w:rPr>
          <w:rFonts w:ascii="標楷體" w:hAnsi="標楷體" w:eastAsia="標楷體"/>
          <w:color w:val="000000" w:themeColor="text1"/>
          <w:sz w:val="28"/>
          <w:szCs w:val="28"/>
        </w:rPr>
        <w:t>租賃土地因天然災害及其他不可抗力事由，致土地一部或全部崩塌、流失或埋沒時，甲方不負回復原</w:t>
      </w:r>
      <w:r>
        <w:rPr>
          <w:rFonts w:ascii="標楷體" w:hAnsi="標楷體" w:eastAsia="標楷體"/>
          <w:sz w:val="28"/>
          <w:szCs w:val="28"/>
        </w:rPr>
        <w:t>狀義務，乙方依第十四條第（一）款約定處理後，得請求變更或終止租約。</w:t>
      </w:r>
    </w:p>
    <w:p>
      <w:pPr>
        <w:pStyle w:val="ListParagraph"/>
        <w:numPr>
          <w:ilvl w:val="0"/>
          <w:numId w:val="12"/>
        </w:numPr>
        <w:snapToGrid w:val="false"/>
        <w:spacing w:lineRule="exact" w:line="400"/>
        <w:ind w:left="1287" w:hanging="578"/>
        <w:jc w:val="both"/>
        <w:rPr>
          <w:rFonts w:ascii="標楷體" w:hAnsi="標楷體" w:eastAsia="標楷體" w:cs="Times New Roman"/>
          <w:kern w:val="0"/>
          <w:sz w:val="28"/>
          <w:szCs w:val="28"/>
        </w:rPr>
      </w:pPr>
      <w:r>
        <w:rPr>
          <w:rFonts w:ascii="標楷體" w:hAnsi="標楷體" w:cs="Times New Roman" w:eastAsia="標楷體"/>
          <w:kern w:val="0"/>
          <w:sz w:val="28"/>
          <w:szCs w:val="28"/>
        </w:rPr>
        <w:t>甲方依本租約第十三條第（一）款約定終止租約一部者，或因分割、合併、重測、重劃、更正等因素，致租賃土地標示、筆數或面積變更者，甲方應通知乙方，並將變更（登記）之結果記載於租約。其面積有增減者，自變更（登記）之次月起，按變更後之面積計收年租金。</w:t>
      </w:r>
    </w:p>
    <w:p>
      <w:pPr>
        <w:pStyle w:val="Normal"/>
        <w:numPr>
          <w:ilvl w:val="0"/>
          <w:numId w:val="1"/>
        </w:numPr>
        <w:spacing w:lineRule="exact" w:line="46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rPr>
        <w:t>太陽光電發電設備規格及要求：</w:t>
      </w:r>
    </w:p>
    <w:p>
      <w:pPr>
        <w:pStyle w:val="Normal"/>
        <w:widowControl/>
        <w:snapToGrid w:val="false"/>
        <w:spacing w:lineRule="exact" w:line="400" w:before="0" w:after="0"/>
        <w:ind w:left="1140" w:hanging="0"/>
        <w:contextualSpacing/>
        <w:jc w:val="both"/>
        <w:rPr>
          <w:rFonts w:ascii="標楷體" w:hAnsi="標楷體" w:eastAsia="標楷體" w:cs="Times New Roman"/>
          <w:sz w:val="28"/>
          <w:szCs w:val="28"/>
        </w:rPr>
      </w:pPr>
      <w:r>
        <w:rPr>
          <w:rFonts w:ascii="標楷體" w:hAnsi="標楷體" w:cs="標楷體" w:eastAsia="標楷體"/>
          <w:kern w:val="0"/>
          <w:sz w:val="28"/>
          <w:szCs w:val="28"/>
        </w:rPr>
        <w:t>太陽光電發電設備全數採用符合本案取得電業施工許可當年度之「台灣高效能太陽光電模組技術規範」之太陽光電模組</w:t>
      </w:r>
      <w:r>
        <w:rPr>
          <w:rFonts w:ascii="標楷體" w:hAnsi="標楷體" w:cs="Times New Roman" w:eastAsia="標楷體"/>
          <w:sz w:val="28"/>
          <w:szCs w:val="28"/>
        </w:rPr>
        <w:t>。</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租賃期間：</w:t>
      </w:r>
    </w:p>
    <w:p>
      <w:pPr>
        <w:pStyle w:val="ListParagraph"/>
        <w:numPr>
          <w:ilvl w:val="0"/>
          <w:numId w:val="13"/>
        </w:numPr>
        <w:snapToGrid w:val="false"/>
        <w:spacing w:lineRule="exact" w:line="400"/>
        <w:ind w:left="1287" w:hanging="578"/>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本租約為定期租約，其期間自民國　　 年　　月　　日起至民國 　　年　　月　　日止計二十年，租期屆滿時，租賃關係消滅，甲方不另通知。</w:t>
      </w:r>
    </w:p>
    <w:p>
      <w:pPr>
        <w:pStyle w:val="ListParagraph"/>
        <w:numPr>
          <w:ilvl w:val="0"/>
          <w:numId w:val="13"/>
        </w:numPr>
        <w:snapToGrid w:val="false"/>
        <w:spacing w:lineRule="exact" w:line="400"/>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乙方於租賃期間內，未有重大違反租約情事且有意續租者，應於租期屆滿前六個月，以書面向甲方提出換約續租申請；逾期未申請者，視為無意續租，租期屆滿租賃關係即行終止</w:t>
      </w:r>
      <w:r>
        <w:rPr>
          <w:rFonts w:ascii="標楷體" w:hAnsi="標楷體" w:eastAsia="標楷體"/>
          <w:color w:val="000000" w:themeColor="text1"/>
          <w:sz w:val="28"/>
          <w:szCs w:val="32"/>
        </w:rPr>
        <w:t>，不另行通知。</w:t>
      </w:r>
    </w:p>
    <w:p>
      <w:pPr>
        <w:pStyle w:val="ListParagraph"/>
        <w:numPr>
          <w:ilvl w:val="0"/>
          <w:numId w:val="13"/>
        </w:numPr>
        <w:snapToGrid w:val="false"/>
        <w:spacing w:lineRule="exact" w:line="400"/>
        <w:ind w:left="1287" w:hanging="578"/>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乙方於租約終止或租期屆滿未辦理續約而無權繼續使用租賃土地，應繳納補償金，並不得以繳納補償金、使用費或其他事由，而主張民法第四百五十一條之適用及其他異議。</w:t>
      </w:r>
    </w:p>
    <w:p>
      <w:pPr>
        <w:pStyle w:val="ListParagraph"/>
        <w:numPr>
          <w:ilvl w:val="0"/>
          <w:numId w:val="13"/>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甲方受理續租申請時，依下列事項辦理：</w:t>
      </w:r>
    </w:p>
    <w:p>
      <w:pPr>
        <w:pStyle w:val="ListParagraph"/>
        <w:numPr>
          <w:ilvl w:val="0"/>
          <w:numId w:val="20"/>
        </w:numPr>
        <w:spacing w:lineRule="exact" w:line="400"/>
        <w:ind w:left="1537" w:hanging="482"/>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續租年限：</w:t>
      </w:r>
      <w:r>
        <w:rPr>
          <w:rFonts w:ascii="標楷體" w:hAnsi="標楷體" w:eastAsia="標楷體"/>
          <w:color w:val="000000" w:themeColor="text1"/>
          <w:sz w:val="28"/>
          <w:szCs w:val="28"/>
        </w:rPr>
        <w:t>經甲方</w:t>
      </w:r>
      <w:r>
        <w:rPr>
          <w:rFonts w:ascii="標楷體" w:hAnsi="標楷體" w:eastAsia="標楷體"/>
          <w:color w:val="000000" w:themeColor="text1"/>
          <w:sz w:val="28"/>
          <w:szCs w:val="32"/>
        </w:rPr>
        <w:t>查無處分使用計畫及認定乙</w:t>
      </w:r>
      <w:r>
        <w:rPr>
          <w:rFonts w:ascii="標楷體" w:hAnsi="標楷體" w:cs="Times New Roman" w:eastAsia="標楷體"/>
          <w:color w:val="000000" w:themeColor="text1"/>
          <w:kern w:val="0"/>
          <w:sz w:val="28"/>
          <w:szCs w:val="28"/>
        </w:rPr>
        <w:t>方未有重大違反租約情事</w:t>
      </w:r>
      <w:r>
        <w:rPr>
          <w:rFonts w:ascii="標楷體" w:hAnsi="標楷體" w:eastAsia="標楷體"/>
          <w:color w:val="000000" w:themeColor="text1"/>
          <w:sz w:val="28"/>
          <w:szCs w:val="32"/>
        </w:rPr>
        <w:t>等不予續租事由者，</w:t>
      </w:r>
      <w:r>
        <w:rPr>
          <w:rFonts w:ascii="標楷體" w:hAnsi="標楷體" w:eastAsia="標楷體"/>
          <w:color w:val="000000" w:themeColor="text1"/>
          <w:sz w:val="28"/>
          <w:szCs w:val="28"/>
        </w:rPr>
        <w:t>同意續租，租賃期間以二十年為限。</w:t>
      </w:r>
    </w:p>
    <w:p>
      <w:pPr>
        <w:pStyle w:val="ListParagraph"/>
        <w:numPr>
          <w:ilvl w:val="0"/>
          <w:numId w:val="20"/>
        </w:numPr>
        <w:spacing w:lineRule="exact" w:line="46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續租條件：如同意續租，年租金依原租約之租金基準計收</w:t>
      </w:r>
      <w:r>
        <w:rPr>
          <w:rFonts w:ascii="標楷體" w:hAnsi="標楷體" w:cs="Times New Roman" w:eastAsia="標楷體"/>
          <w:color w:val="000000" w:themeColor="text1"/>
          <w:kern w:val="0"/>
          <w:sz w:val="28"/>
          <w:szCs w:val="28"/>
        </w:rPr>
        <w:t>。</w:t>
      </w:r>
    </w:p>
    <w:p>
      <w:pPr>
        <w:pStyle w:val="ListParagraph"/>
        <w:numPr>
          <w:ilvl w:val="0"/>
          <w:numId w:val="20"/>
        </w:numPr>
        <w:spacing w:lineRule="exact" w:line="400"/>
        <w:ind w:left="1537" w:hanging="482"/>
        <w:jc w:val="both"/>
        <w:rPr>
          <w:rFonts w:ascii="標楷體" w:hAnsi="標楷體" w:eastAsia="標楷體" w:cs="Times New Roman"/>
          <w:kern w:val="0"/>
          <w:sz w:val="28"/>
          <w:szCs w:val="28"/>
        </w:rPr>
      </w:pPr>
      <w:r>
        <w:rPr>
          <w:rFonts w:ascii="標楷體" w:hAnsi="標楷體" w:cs="Times New Roman" w:eastAsia="標楷體"/>
          <w:color w:val="000000" w:themeColor="text1"/>
          <w:kern w:val="0"/>
          <w:sz w:val="28"/>
          <w:szCs w:val="28"/>
        </w:rPr>
        <w:t>甲方同意續租後，乙方應於通知送達之次日起一個月內與甲方辦理簽約，並辦理公證，訂約前應繳清積欠之年租金及違約金，原繳履約保證金如有餘</w:t>
      </w:r>
      <w:r>
        <w:rPr>
          <w:rFonts w:ascii="標楷體" w:hAnsi="標楷體" w:cs="Times New Roman" w:eastAsia="標楷體"/>
          <w:kern w:val="0"/>
          <w:sz w:val="28"/>
          <w:szCs w:val="28"/>
        </w:rPr>
        <w:t>額者，應作為續約後之履約保證金之一部分，如有不足，乙方應於簽訂租約前十日補足差額。</w:t>
      </w:r>
    </w:p>
    <w:p>
      <w:pPr>
        <w:pStyle w:val="ListParagraph"/>
        <w:numPr>
          <w:ilvl w:val="0"/>
          <w:numId w:val="20"/>
        </w:numPr>
        <w:spacing w:lineRule="exact" w:line="400"/>
        <w:ind w:left="1537" w:hanging="482"/>
        <w:jc w:val="both"/>
        <w:rPr>
          <w:rFonts w:ascii="標楷體" w:hAnsi="標楷體" w:eastAsia="標楷體" w:cs="Times New Roman"/>
          <w:kern w:val="0"/>
          <w:sz w:val="28"/>
          <w:szCs w:val="28"/>
        </w:rPr>
      </w:pPr>
      <w:r>
        <w:rPr>
          <w:rFonts w:ascii="標楷體" w:hAnsi="標楷體" w:cs="Times New Roman" w:eastAsia="標楷體"/>
          <w:w w:val="101"/>
          <w:kern w:val="0"/>
          <w:sz w:val="28"/>
          <w:szCs w:val="28"/>
        </w:rPr>
        <w:t>履約保證金金額：依</w:t>
      </w:r>
      <w:r>
        <w:rPr>
          <w:rFonts w:ascii="標楷體" w:hAnsi="標楷體" w:cs="Times New Roman" w:eastAsia="標楷體"/>
          <w:color w:val="FF0000"/>
          <w:w w:val="101"/>
          <w:kern w:val="0"/>
          <w:sz w:val="28"/>
          <w:szCs w:val="28"/>
        </w:rPr>
        <w:t>基本</w:t>
      </w:r>
      <w:r>
        <w:rPr>
          <w:rFonts w:ascii="標楷體" w:hAnsi="標楷體" w:cs="Times New Roman" w:eastAsia="標楷體"/>
          <w:w w:val="101"/>
          <w:kern w:val="0"/>
          <w:sz w:val="28"/>
          <w:szCs w:val="28"/>
        </w:rPr>
        <w:t>設備裝置容量或依第二條第（五）款變更後土地面積比例計算調整</w:t>
      </w:r>
      <w:r>
        <w:rPr>
          <w:rFonts w:ascii="標楷體" w:hAnsi="標楷體" w:cs="Times New Roman" w:eastAsia="標楷體"/>
          <w:color w:val="FF0000"/>
          <w:w w:val="101"/>
          <w:kern w:val="0"/>
          <w:sz w:val="28"/>
          <w:szCs w:val="28"/>
        </w:rPr>
        <w:t>基本</w:t>
      </w:r>
      <w:r>
        <w:rPr>
          <w:rFonts w:ascii="標楷體" w:hAnsi="標楷體" w:cs="Times New Roman" w:eastAsia="標楷體"/>
          <w:w w:val="101"/>
          <w:kern w:val="0"/>
          <w:sz w:val="28"/>
          <w:szCs w:val="28"/>
        </w:rPr>
        <w:t>設備裝置容量</w:t>
      </w:r>
      <w:r>
        <w:rPr>
          <w:rFonts w:ascii="標楷體" w:hAnsi="標楷體" w:cs="Times New Roman" w:eastAsia="標楷體"/>
          <w:kern w:val="0"/>
          <w:sz w:val="28"/>
          <w:szCs w:val="28"/>
        </w:rPr>
        <w:t>（</w:t>
      </w:r>
      <w:r>
        <w:rPr>
          <w:rFonts w:eastAsia="標楷體" w:cs="Times New Roman" w:ascii="標楷體" w:hAnsi="標楷體"/>
          <w:kern w:val="0"/>
          <w:sz w:val="28"/>
          <w:szCs w:val="28"/>
        </w:rPr>
        <w:t>kWp</w:t>
      </w:r>
      <w:r>
        <w:rPr>
          <w:rFonts w:ascii="標楷體" w:hAnsi="標楷體" w:cs="Times New Roman" w:eastAsia="標楷體"/>
          <w:kern w:val="0"/>
          <w:sz w:val="28"/>
          <w:szCs w:val="28"/>
        </w:rPr>
        <w:t>）</w:t>
      </w:r>
      <w:r>
        <w:rPr>
          <w:rFonts w:ascii="標楷體" w:hAnsi="標楷體" w:eastAsia="標楷體"/>
          <w:sz w:val="28"/>
          <w:szCs w:val="28"/>
        </w:rPr>
        <w:t>（四捨五入取至個位數）</w:t>
      </w:r>
      <w:r>
        <w:rPr>
          <w:rFonts w:eastAsia="標楷體" w:cs="Times New Roman" w:ascii="標楷體" w:hAnsi="標楷體"/>
          <w:color w:val="FF0000"/>
          <w:kern w:val="0"/>
          <w:sz w:val="28"/>
          <w:szCs w:val="28"/>
        </w:rPr>
        <w:t>×</w:t>
      </w:r>
      <w:r>
        <w:rPr>
          <w:rFonts w:ascii="標楷體" w:hAnsi="標楷體" w:cs="Times New Roman" w:eastAsia="標楷體"/>
          <w:color w:val="F10D0C"/>
          <w:kern w:val="0"/>
          <w:sz w:val="28"/>
          <w:szCs w:val="28"/>
        </w:rPr>
        <w:t>新臺幣</w:t>
      </w:r>
      <w:r>
        <w:rPr>
          <w:rFonts w:eastAsia="標楷體" w:cs="Times New Roman" w:ascii="標楷體" w:hAnsi="標楷體"/>
          <w:color w:val="F10D0C"/>
          <w:kern w:val="0"/>
          <w:sz w:val="28"/>
          <w:szCs w:val="28"/>
        </w:rPr>
        <w:t>5,000</w:t>
      </w:r>
      <w:r>
        <w:rPr>
          <w:rFonts w:ascii="標楷體" w:hAnsi="標楷體" w:cs="Times New Roman" w:eastAsia="標楷體"/>
          <w:kern w:val="0"/>
          <w:sz w:val="28"/>
          <w:szCs w:val="28"/>
        </w:rPr>
        <w:t>（元</w:t>
      </w:r>
      <w:r>
        <w:rPr>
          <w:rFonts w:eastAsia="標楷體" w:cs="Times New Roman" w:ascii="標楷體" w:hAnsi="標楷體"/>
          <w:kern w:val="0"/>
          <w:sz w:val="28"/>
          <w:szCs w:val="28"/>
        </w:rPr>
        <w:t>/kWp</w:t>
      </w:r>
      <w:r>
        <w:rPr>
          <w:rFonts w:ascii="標楷體" w:hAnsi="標楷體" w:cs="Times New Roman" w:eastAsia="標楷體"/>
          <w:kern w:val="0"/>
          <w:sz w:val="28"/>
          <w:szCs w:val="28"/>
        </w:rPr>
        <w:t>）計算。</w:t>
      </w:r>
    </w:p>
    <w:p>
      <w:pPr>
        <w:pStyle w:val="Normal"/>
        <w:snapToGrid w:val="false"/>
        <w:spacing w:lineRule="exact" w:line="400"/>
        <w:ind w:left="1290" w:hanging="812"/>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（五）乙方應於併聯發電起依租賃標的使用期間提供</w:t>
      </w:r>
      <w:r>
        <w:rPr>
          <w:rFonts w:eastAsia="標楷體" w:cs="Times New Roman" w:ascii="標楷體" w:hAnsi="標楷體"/>
          <w:color w:val="FF0000"/>
          <w:kern w:val="0"/>
          <w:sz w:val="28"/>
          <w:szCs w:val="28"/>
        </w:rPr>
        <w:t>30</w:t>
      </w:r>
      <w:r>
        <w:rPr>
          <w:rFonts w:ascii="標楷體" w:hAnsi="標楷體" w:cs="Times New Roman" w:eastAsia="標楷體"/>
          <w:color w:val="FF0000"/>
          <w:kern w:val="0"/>
          <w:sz w:val="28"/>
          <w:szCs w:val="28"/>
        </w:rPr>
        <w:t>％目的事業主管機關核准裝置容量之綠電，透過經濟部標準檢驗局（以下簡稱標準局）綠電交易平台，依標準局「公有或國營事業土地標租太陽光電案場再生能源電力及憑證媒合服務作業程序」（以下簡稱媒合作業程序）進行媒合售電，辦理下列事項：</w:t>
      </w:r>
    </w:p>
    <w:p>
      <w:pPr>
        <w:pStyle w:val="ListParagraph"/>
        <w:numPr>
          <w:ilvl w:val="0"/>
          <w:numId w:val="28"/>
        </w:numPr>
        <w:spacing w:lineRule="exact" w:line="400"/>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依甲方指定發電量、價格及方式售電，前述指定價格不低於每度新臺幣</w:t>
      </w:r>
      <w:r>
        <w:rPr>
          <w:rFonts w:eastAsia="標楷體" w:cs="Times New Roman" w:ascii="標楷體" w:hAnsi="標楷體"/>
          <w:color w:val="FF0000"/>
          <w:kern w:val="0"/>
          <w:sz w:val="28"/>
          <w:szCs w:val="28"/>
        </w:rPr>
        <w:t>4.3</w:t>
      </w:r>
      <w:r>
        <w:rPr>
          <w:rFonts w:ascii="標楷體" w:hAnsi="標楷體" w:cs="Times New Roman" w:eastAsia="標楷體"/>
          <w:color w:val="FF0000"/>
          <w:kern w:val="0"/>
          <w:sz w:val="28"/>
          <w:szCs w:val="28"/>
        </w:rPr>
        <w:t>元。</w:t>
      </w:r>
    </w:p>
    <w:p>
      <w:pPr>
        <w:pStyle w:val="ListParagraph"/>
        <w:numPr>
          <w:ilvl w:val="0"/>
          <w:numId w:val="28"/>
        </w:numPr>
        <w:spacing w:lineRule="exact" w:line="400"/>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乙方與買方之綠電轉供契約期間不得逾租賃期間迄日。</w:t>
      </w:r>
    </w:p>
    <w:p>
      <w:pPr>
        <w:pStyle w:val="ListParagraph"/>
        <w:numPr>
          <w:ilvl w:val="0"/>
          <w:numId w:val="28"/>
        </w:numPr>
        <w:spacing w:lineRule="exact" w:line="400"/>
        <w:ind w:left="1537" w:hanging="482"/>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乙方得將目的事業主管機關核准裝置容量之</w:t>
      </w:r>
      <w:r>
        <w:rPr>
          <w:rFonts w:eastAsia="標楷體" w:cs="Times New Roman" w:ascii="標楷體" w:hAnsi="標楷體"/>
          <w:color w:val="FF0000"/>
          <w:kern w:val="0"/>
          <w:sz w:val="28"/>
          <w:szCs w:val="28"/>
        </w:rPr>
        <w:t>70</w:t>
      </w:r>
      <w:r>
        <w:rPr>
          <w:rFonts w:ascii="標楷體" w:hAnsi="標楷體" w:cs="Times New Roman" w:eastAsia="標楷體"/>
          <w:color w:val="FF0000"/>
          <w:kern w:val="0"/>
          <w:sz w:val="28"/>
          <w:szCs w:val="28"/>
        </w:rPr>
        <w:t>％，以躉購費率價格售予公用售電業。乙方如規劃將目的事業主管機關核准裝置容量之</w:t>
      </w:r>
      <w:r>
        <w:rPr>
          <w:rFonts w:eastAsia="標楷體" w:cs="Times New Roman" w:ascii="標楷體" w:hAnsi="標楷體"/>
          <w:color w:val="FF0000"/>
          <w:kern w:val="0"/>
          <w:sz w:val="28"/>
          <w:szCs w:val="28"/>
        </w:rPr>
        <w:t>70</w:t>
      </w:r>
      <w:r>
        <w:rPr>
          <w:rFonts w:ascii="標楷體" w:hAnsi="標楷體" w:cs="Times New Roman" w:eastAsia="標楷體"/>
          <w:color w:val="FF0000"/>
          <w:kern w:val="0"/>
          <w:sz w:val="28"/>
          <w:szCs w:val="28"/>
        </w:rPr>
        <w:t>％轉供給其他業者，其售電單價須高於公用售電業躉購費率價格，並應經甲方書面同意且符合再生能源發展條例規定。</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租賃條件：</w:t>
      </w:r>
    </w:p>
    <w:p>
      <w:pPr>
        <w:pStyle w:val="ListParagraph"/>
        <w:widowControl w:val="false"/>
        <w:numPr>
          <w:ilvl w:val="0"/>
          <w:numId w:val="14"/>
        </w:numPr>
        <w:suppressAutoHyphens w:val="true"/>
        <w:bidi w:val="0"/>
        <w:snapToGrid w:val="false"/>
        <w:spacing w:lineRule="exact" w:line="400" w:before="0" w:after="0"/>
        <w:jc w:val="both"/>
        <w:rPr>
          <w:rFonts w:ascii="標楷體" w:hAnsi="標楷體" w:eastAsia="標楷體" w:cs="Times New Roman"/>
          <w:kern w:val="0"/>
          <w:sz w:val="28"/>
          <w:szCs w:val="28"/>
        </w:rPr>
      </w:pPr>
      <w:r>
        <w:rPr>
          <w:rFonts w:ascii="標楷體" w:hAnsi="標楷體" w:eastAsia="標楷體"/>
          <w:sz w:val="28"/>
          <w:szCs w:val="32"/>
        </w:rPr>
        <w:t>乙方應保證於租約起租日當日起算</w:t>
      </w:r>
      <w:r>
        <w:rPr>
          <w:rFonts w:ascii="標楷體" w:hAnsi="標楷體" w:eastAsia="標楷體"/>
          <w:b/>
          <w:sz w:val="28"/>
          <w:szCs w:val="32"/>
          <w:highlight w:val="yellow"/>
        </w:rPr>
        <w:t>○○○</w:t>
      </w:r>
      <w:r>
        <w:rPr>
          <w:rFonts w:ascii="標楷體" w:hAnsi="標楷體" w:eastAsia="標楷體"/>
          <w:sz w:val="28"/>
          <w:szCs w:val="32"/>
        </w:rPr>
        <w:t>日曆天內完成</w:t>
      </w:r>
      <w:r>
        <w:rPr>
          <w:rFonts w:ascii="標楷體" w:hAnsi="標楷體" w:cs="Times New Roman" w:eastAsia="標楷體"/>
          <w:color w:val="FF0000"/>
          <w:kern w:val="0"/>
          <w:sz w:val="28"/>
          <w:szCs w:val="28"/>
        </w:rPr>
        <w:t>目的事業主管機關核准裝置容量及併聯試運轉（下稱</w:t>
      </w:r>
      <w:r>
        <w:rPr>
          <w:rFonts w:ascii="標楷體" w:hAnsi="標楷體" w:cs="標楷體" w:eastAsia="標楷體"/>
          <w:color w:val="FF0000"/>
          <w:kern w:val="2"/>
          <w:sz w:val="28"/>
          <w:szCs w:val="32"/>
          <w:u w:val="none"/>
          <w:lang w:val="en-US" w:eastAsia="zh-TW" w:bidi="ar-SA"/>
        </w:rPr>
        <w:t>完成設置工作</w:t>
      </w:r>
      <w:r>
        <w:rPr>
          <w:rFonts w:ascii="標楷體" w:hAnsi="標楷體" w:cs="Times New Roman" w:eastAsia="標楷體"/>
          <w:color w:val="FF0000"/>
          <w:kern w:val="0"/>
          <w:sz w:val="28"/>
          <w:szCs w:val="28"/>
        </w:rPr>
        <w:t>）。</w:t>
      </w:r>
    </w:p>
    <w:p>
      <w:pPr>
        <w:pStyle w:val="ListParagraph"/>
        <w:numPr>
          <w:ilvl w:val="0"/>
          <w:numId w:val="14"/>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乙方未能於設置期限內完成</w:t>
      </w:r>
      <w:r>
        <w:rPr>
          <w:rFonts w:ascii="標楷體" w:hAnsi="標楷體" w:cs="標楷體" w:eastAsia="標楷體"/>
          <w:color w:val="FF0000"/>
          <w:kern w:val="2"/>
          <w:sz w:val="28"/>
          <w:szCs w:val="32"/>
          <w:u w:val="none"/>
          <w:lang w:val="en-US" w:eastAsia="zh-TW" w:bidi="ar-SA"/>
        </w:rPr>
        <w:t>設置工作</w:t>
      </w:r>
      <w:r>
        <w:rPr>
          <w:rFonts w:ascii="標楷體" w:hAnsi="標楷體" w:eastAsia="標楷體"/>
          <w:color w:val="000000" w:themeColor="text1"/>
          <w:sz w:val="28"/>
          <w:szCs w:val="28"/>
        </w:rPr>
        <w:t>，按逾期日數依第十條第（二）款繳交懲罰性違約金。</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土地使用限制：</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本租約租賃土地僅限作為設置太陽光電發電設備使用，不得供任何其他用途，若乙方違反者，經甲方訂定相當期限，催告乙方改善，逾期未改善時，甲方得終止租約，並沒收已繳交之履約保證金。</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所申請設置之太陽光電發電設備，其規劃設計、採購、施工安裝及工業安全衛生管理，與太陽光電發電設備之運轉、維護、安全管理、損壞修復、太陽光電發電設備所造成的人員傷亡、財物損失、鄰房反光、設置場址範圍內的清潔</w:t>
      </w:r>
      <w:r>
        <w:rPr>
          <w:rFonts w:ascii="標楷體" w:hAnsi="標楷體" w:eastAsia="標楷體"/>
          <w:color w:val="000000" w:themeColor="text1"/>
          <w:kern w:val="0"/>
          <w:sz w:val="28"/>
          <w:szCs w:val="28"/>
        </w:rPr>
        <w:t>、防漏電措施</w:t>
      </w:r>
      <w:r>
        <w:rPr>
          <w:rFonts w:ascii="標楷體" w:hAnsi="標楷體" w:eastAsia="標楷體"/>
          <w:color w:val="000000" w:themeColor="text1"/>
          <w:sz w:val="28"/>
          <w:szCs w:val="28"/>
        </w:rPr>
        <w:t>及稅捐等一切事項，概由乙方負責，與甲方無涉</w:t>
      </w:r>
      <w:r>
        <w:rPr>
          <w:rFonts w:ascii="標楷體" w:hAnsi="標楷體" w:cs="Times New Roman" w:eastAsia="標楷體"/>
          <w:color w:val="000000" w:themeColor="text1"/>
          <w:kern w:val="0"/>
          <w:sz w:val="28"/>
          <w:szCs w:val="28"/>
        </w:rPr>
        <w:t>。</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在租賃範圍內設置太陽光電發電設備，應由乙方出資興建。租賃期間所發生之侵權、環保、人員傷亡、意外事件等，均由乙方負責處理，與甲方無涉；若因而致甲方損害者，甲方得就損害金額請求乙方賠償，其損害金額得自履約保證金扣抵，不足部分再向乙方求償。</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w:t>
      </w:r>
      <w:r>
        <w:rPr>
          <w:rFonts w:ascii="標楷體" w:hAnsi="標楷體" w:eastAsia="標楷體"/>
          <w:color w:val="000000" w:themeColor="text1"/>
          <w:sz w:val="28"/>
          <w:szCs w:val="28"/>
        </w:rPr>
        <w:t>應以善良管理人之注意，</w:t>
      </w:r>
      <w:r>
        <w:rPr>
          <w:rFonts w:ascii="標楷體" w:hAnsi="標楷體" w:cs="標楷體" w:eastAsia="標楷體"/>
          <w:color w:val="000000" w:themeColor="text1"/>
          <w:sz w:val="28"/>
          <w:szCs w:val="28"/>
        </w:rPr>
        <w:t>依法令規定及租約約定使用及</w:t>
      </w:r>
      <w:r>
        <w:rPr>
          <w:rFonts w:ascii="標楷體" w:hAnsi="標楷體" w:eastAsia="標楷體"/>
          <w:color w:val="000000" w:themeColor="text1"/>
          <w:sz w:val="28"/>
          <w:szCs w:val="28"/>
        </w:rPr>
        <w:t>保管租賃土地</w:t>
      </w:r>
      <w:r>
        <w:rPr>
          <w:rFonts w:ascii="標楷體" w:hAnsi="標楷體" w:cs="Times New Roman" w:eastAsia="標楷體"/>
          <w:color w:val="000000" w:themeColor="text1"/>
          <w:kern w:val="0"/>
          <w:sz w:val="28"/>
          <w:szCs w:val="28"/>
        </w:rPr>
        <w:t>，如因故意、過失，致</w:t>
      </w:r>
      <w:r>
        <w:rPr>
          <w:rFonts w:ascii="標楷體" w:hAnsi="標楷體" w:eastAsia="標楷體"/>
          <w:color w:val="000000" w:themeColor="text1"/>
          <w:sz w:val="28"/>
          <w:szCs w:val="28"/>
        </w:rPr>
        <w:t>減損租賃土地價值或效能</w:t>
      </w:r>
      <w:r>
        <w:rPr>
          <w:rFonts w:ascii="標楷體" w:hAnsi="標楷體" w:cs="Times New Roman" w:eastAsia="標楷體"/>
          <w:color w:val="000000" w:themeColor="text1"/>
          <w:kern w:val="0"/>
          <w:sz w:val="28"/>
          <w:szCs w:val="28"/>
        </w:rPr>
        <w:t>，願負一切損害賠償責任，絕無異議，其損害金額得自履約保證金扣抵，不足部分再向乙方求償。</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乙方非經甲方同意，不得轉讓租賃權予第三人，乙方</w:t>
      </w:r>
      <w:r>
        <w:rPr>
          <w:rFonts w:ascii="標楷體" w:hAnsi="標楷體" w:eastAsia="標楷體"/>
          <w:color w:val="000000" w:themeColor="text1"/>
          <w:sz w:val="28"/>
          <w:szCs w:val="28"/>
        </w:rPr>
        <w:t>轉讓租賃權，</w:t>
      </w:r>
      <w:r>
        <w:rPr>
          <w:rFonts w:ascii="標楷體" w:hAnsi="標楷體" w:eastAsia="標楷體"/>
          <w:color w:val="000000" w:themeColor="text1"/>
          <w:kern w:val="0"/>
          <w:sz w:val="28"/>
          <w:szCs w:val="28"/>
        </w:rPr>
        <w:t>應</w:t>
      </w:r>
      <w:r>
        <w:rPr>
          <w:rFonts w:ascii="標楷體" w:hAnsi="標楷體" w:eastAsia="標楷體"/>
          <w:color w:val="000000" w:themeColor="text1"/>
          <w:sz w:val="28"/>
          <w:szCs w:val="28"/>
        </w:rPr>
        <w:t>敘明受讓人之名義，並檢附受讓人符合投標須知第六點之資格證明文件，徵得甲方同意後，始得辦理，違者，由甲方通知乙方於一個月內繳納發現時前一年度月租金額（依乙方繳納之年租金除以十二計算，小數點以下無條件捨去，以下同）二倍之違約金</w:t>
      </w:r>
      <w:r>
        <w:rPr>
          <w:rFonts w:ascii="標楷體" w:hAnsi="標楷體" w:eastAsia="標楷體"/>
          <w:color w:val="000000" w:themeColor="text1"/>
          <w:kern w:val="0"/>
          <w:sz w:val="28"/>
          <w:szCs w:val="28"/>
        </w:rPr>
        <w:t>，並會</w:t>
      </w:r>
      <w:r>
        <w:rPr>
          <w:rFonts w:ascii="標楷體" w:hAnsi="標楷體" w:eastAsia="標楷體"/>
          <w:color w:val="000000" w:themeColor="text1"/>
          <w:sz w:val="28"/>
          <w:szCs w:val="28"/>
        </w:rPr>
        <w:t>同受讓人申請換約續租</w:t>
      </w:r>
      <w:r>
        <w:rPr>
          <w:rFonts w:ascii="標楷體" w:hAnsi="標楷體" w:eastAsia="標楷體"/>
          <w:color w:val="000000" w:themeColor="text1"/>
          <w:kern w:val="0"/>
          <w:sz w:val="28"/>
          <w:szCs w:val="28"/>
        </w:rPr>
        <w:t>，未配合辦理或</w:t>
      </w:r>
      <w:r>
        <w:rPr>
          <w:rFonts w:ascii="標楷體" w:hAnsi="標楷體" w:eastAsia="標楷體"/>
          <w:color w:val="000000" w:themeColor="text1"/>
          <w:sz w:val="28"/>
          <w:szCs w:val="28"/>
        </w:rPr>
        <w:t>受讓人資格不符者</w:t>
      </w:r>
      <w:r>
        <w:rPr>
          <w:rFonts w:ascii="標楷體" w:hAnsi="標楷體" w:eastAsia="標楷體"/>
          <w:color w:val="000000" w:themeColor="text1"/>
          <w:kern w:val="0"/>
          <w:sz w:val="28"/>
          <w:szCs w:val="28"/>
        </w:rPr>
        <w:t>，終止租約。</w:t>
      </w:r>
    </w:p>
    <w:p>
      <w:pPr>
        <w:pStyle w:val="1"/>
        <w:numPr>
          <w:ilvl w:val="0"/>
          <w:numId w:val="0"/>
        </w:numPr>
        <w:tabs>
          <w:tab w:val="left" w:pos="480" w:leader="none"/>
        </w:tabs>
        <w:snapToGrid w:val="false"/>
        <w:spacing w:lineRule="exact" w:line="380"/>
        <w:ind w:left="1285" w:hanging="0"/>
        <w:jc w:val="both"/>
        <w:rPr>
          <w:color w:val="000000" w:themeColor="text1"/>
          <w:sz w:val="28"/>
          <w:szCs w:val="28"/>
        </w:rPr>
      </w:pPr>
      <w:r>
        <w:rPr>
          <w:color w:val="000000" w:themeColor="text1"/>
          <w:kern w:val="0"/>
          <w:sz w:val="28"/>
          <w:szCs w:val="28"/>
        </w:rPr>
        <w:t>乙方依前項轉讓租賃權時，受讓人應履行原租約約定之義務，</w:t>
      </w:r>
      <w:r>
        <w:rPr>
          <w:color w:val="000000" w:themeColor="text1"/>
          <w:sz w:val="28"/>
          <w:szCs w:val="28"/>
        </w:rPr>
        <w:t>於轉讓之日</w:t>
      </w:r>
      <w:r>
        <w:rPr>
          <w:color w:val="000000" w:themeColor="text1"/>
          <w:kern w:val="0"/>
          <w:sz w:val="28"/>
          <w:szCs w:val="28"/>
        </w:rPr>
        <w:t>（</w:t>
      </w:r>
      <w:r>
        <w:rPr>
          <w:color w:val="000000" w:themeColor="text1"/>
          <w:sz w:val="28"/>
          <w:szCs w:val="28"/>
        </w:rPr>
        <w:t>指</w:t>
      </w:r>
      <w:r>
        <w:rPr>
          <w:color w:val="000000" w:themeColor="text1"/>
          <w:kern w:val="0"/>
          <w:sz w:val="28"/>
          <w:szCs w:val="28"/>
        </w:rPr>
        <w:t>訂立轉讓契約日）</w:t>
      </w:r>
      <w:r>
        <w:rPr>
          <w:color w:val="000000" w:themeColor="text1"/>
          <w:sz w:val="28"/>
          <w:szCs w:val="28"/>
        </w:rPr>
        <w:t>起一個月內會同受讓人向甲方申請換約續租，違者，由甲方通知乙方於一個月內繳納發現時前一年度月租金額二倍之違約金，並會同受讓人申請換約續租，未配合辦理者，終止租約。</w:t>
      </w:r>
    </w:p>
    <w:p>
      <w:pPr>
        <w:pStyle w:val="ListParagraph"/>
        <w:numPr>
          <w:ilvl w:val="0"/>
          <w:numId w:val="1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租賃土地不得轉租、</w:t>
      </w:r>
      <w:r>
        <w:rPr>
          <w:rFonts w:ascii="標楷體" w:hAnsi="標楷體" w:cs="Times New Roman" w:eastAsia="標楷體"/>
          <w:color w:val="000000" w:themeColor="text1"/>
          <w:kern w:val="0"/>
          <w:sz w:val="28"/>
          <w:szCs w:val="28"/>
        </w:rPr>
        <w:t>轉借或以其他名義供第三人</w:t>
      </w:r>
      <w:r>
        <w:rPr>
          <w:rFonts w:ascii="標楷體" w:hAnsi="標楷體" w:eastAsia="標楷體"/>
          <w:color w:val="000000" w:themeColor="text1"/>
          <w:sz w:val="28"/>
          <w:szCs w:val="28"/>
        </w:rPr>
        <w:t>使用。</w:t>
      </w:r>
    </w:p>
    <w:p>
      <w:pPr>
        <w:pStyle w:val="ListParagraph"/>
        <w:numPr>
          <w:ilvl w:val="0"/>
          <w:numId w:val="15"/>
        </w:numPr>
        <w:snapToGrid w:val="false"/>
        <w:spacing w:lineRule="exact" w:line="440"/>
        <w:ind w:left="1287" w:hanging="578"/>
        <w:jc w:val="both"/>
        <w:rPr>
          <w:rFonts w:ascii="標楷體" w:hAnsi="標楷體" w:eastAsia="標楷體" w:cs="Times New Roman"/>
          <w:color w:val="FF0000"/>
          <w:kern w:val="0"/>
          <w:sz w:val="28"/>
          <w:szCs w:val="28"/>
        </w:rPr>
      </w:pPr>
      <w:r>
        <w:rPr>
          <w:rFonts w:ascii="標楷體" w:hAnsi="標楷體" w:eastAsia="標楷體"/>
          <w:color w:val="000000" w:themeColor="text1"/>
          <w:sz w:val="28"/>
          <w:szCs w:val="28"/>
        </w:rPr>
        <w:t>甲方得依乙方申請</w:t>
      </w:r>
      <w:r>
        <w:rPr>
          <w:rFonts w:ascii="標楷體" w:hAnsi="標楷體" w:cs="Times New Roman" w:eastAsia="標楷體"/>
          <w:color w:val="000000" w:themeColor="text1"/>
          <w:kern w:val="0"/>
          <w:sz w:val="28"/>
          <w:szCs w:val="28"/>
          <w:lang w:val="zh-TW"/>
        </w:rPr>
        <w:t>核發</w:t>
      </w:r>
      <w:r>
        <w:rPr>
          <w:rFonts w:ascii="標楷體" w:hAnsi="標楷體" w:eastAsia="標楷體"/>
          <w:color w:val="000000" w:themeColor="text1"/>
          <w:kern w:val="0"/>
          <w:sz w:val="28"/>
          <w:szCs w:val="28"/>
          <w:lang w:val="zh-TW"/>
        </w:rPr>
        <w:t>土地使用權同意書供其向</w:t>
      </w:r>
      <w:r>
        <w:rPr>
          <w:rFonts w:ascii="標楷體" w:hAnsi="標楷體" w:cs="Times New Roman" w:eastAsia="標楷體"/>
          <w:color w:val="000000" w:themeColor="text1"/>
          <w:kern w:val="0"/>
          <w:sz w:val="28"/>
          <w:szCs w:val="28"/>
          <w:lang w:val="zh-TW"/>
        </w:rPr>
        <w:t>各目的事業主管機關申請辦理</w:t>
      </w:r>
      <w:r>
        <w:rPr>
          <w:rFonts w:ascii="標楷體" w:hAnsi="標楷體" w:eastAsia="標楷體"/>
          <w:sz w:val="28"/>
          <w:szCs w:val="28"/>
        </w:rPr>
        <w:t>使用分區或使用地變更、土地核准使用或容許使用</w:t>
      </w:r>
      <w:r>
        <w:rPr>
          <w:rFonts w:ascii="標楷體" w:hAnsi="標楷體" w:cs="Times New Roman" w:eastAsia="標楷體"/>
          <w:color w:val="000000" w:themeColor="text1"/>
          <w:kern w:val="0"/>
          <w:sz w:val="28"/>
          <w:szCs w:val="28"/>
          <w:lang w:val="zh-TW"/>
        </w:rPr>
        <w:t>、電業籌設許可、</w:t>
      </w:r>
      <w:r>
        <w:rPr>
          <w:rFonts w:ascii="標楷體" w:hAnsi="標楷體" w:cs="Times New Roman" w:eastAsia="標楷體"/>
          <w:kern w:val="0"/>
          <w:sz w:val="28"/>
          <w:szCs w:val="28"/>
          <w:lang w:val="zh-TW"/>
        </w:rPr>
        <w:t>開發計畫同意許可、興辦事業同意許可</w:t>
      </w:r>
      <w:r>
        <w:rPr>
          <w:rFonts w:ascii="標楷體" w:hAnsi="標楷體" w:cs="Times New Roman" w:eastAsia="標楷體"/>
          <w:color w:val="000000" w:themeColor="text1"/>
          <w:kern w:val="0"/>
          <w:sz w:val="28"/>
          <w:szCs w:val="28"/>
          <w:lang w:val="zh-TW"/>
        </w:rPr>
        <w:t>、發電設備同意備案許可、施工許可、</w:t>
      </w:r>
      <w:r>
        <w:rPr>
          <w:rFonts w:ascii="標楷體" w:hAnsi="標楷體" w:eastAsia="標楷體"/>
          <w:sz w:val="28"/>
          <w:szCs w:val="28"/>
        </w:rPr>
        <w:t>建造（設置）太陽光電發電設備</w:t>
      </w:r>
      <w:r>
        <w:rPr>
          <w:rFonts w:ascii="標楷體" w:hAnsi="標楷體" w:cs="Times New Roman" w:eastAsia="標楷體"/>
          <w:color w:val="000000" w:themeColor="text1"/>
          <w:kern w:val="0"/>
          <w:sz w:val="28"/>
          <w:szCs w:val="28"/>
          <w:lang w:val="zh-TW"/>
        </w:rPr>
        <w:t>、設置升壓站等。</w:t>
      </w:r>
    </w:p>
    <w:p>
      <w:pPr>
        <w:pStyle w:val="ListParagraph"/>
        <w:numPr>
          <w:ilvl w:val="0"/>
          <w:numId w:val="15"/>
        </w:numPr>
        <w:snapToGrid w:val="false"/>
        <w:spacing w:lineRule="exact" w:line="440"/>
        <w:ind w:left="1287" w:hanging="578"/>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乙方於租賃土地上</w:t>
      </w:r>
      <w:r>
        <w:rPr>
          <w:rFonts w:ascii="標楷體" w:hAnsi="標楷體" w:cs="標楷體" w:eastAsia="標楷體"/>
          <w:color w:val="000000" w:themeColor="text1"/>
          <w:kern w:val="0"/>
          <w:sz w:val="28"/>
          <w:szCs w:val="28"/>
          <w:lang w:val="zh-TW"/>
        </w:rPr>
        <w:t>建造（設置）太陽光電發電設備，應</w:t>
      </w:r>
      <w:r>
        <w:rPr>
          <w:rFonts w:ascii="標楷體" w:hAnsi="標楷體" w:eastAsia="標楷體"/>
          <w:color w:val="000000" w:themeColor="text1"/>
          <w:sz w:val="28"/>
          <w:szCs w:val="28"/>
        </w:rPr>
        <w:t>依前款規定取得甲方之</w:t>
      </w:r>
      <w:r>
        <w:rPr>
          <w:rFonts w:ascii="標楷體" w:hAnsi="標楷體" w:eastAsia="標楷體"/>
          <w:color w:val="000000" w:themeColor="text1"/>
          <w:kern w:val="0"/>
          <w:sz w:val="28"/>
          <w:szCs w:val="28"/>
          <w:lang w:val="zh-TW"/>
        </w:rPr>
        <w:t>土地使用權同意書，並依法令規定申</w:t>
      </w:r>
      <w:r>
        <w:rPr>
          <w:rFonts w:ascii="標楷體" w:hAnsi="標楷體" w:cs="標楷體" w:eastAsia="標楷體"/>
          <w:color w:val="000000" w:themeColor="text1"/>
          <w:kern w:val="0"/>
          <w:sz w:val="28"/>
          <w:szCs w:val="28"/>
          <w:lang w:val="zh-TW"/>
        </w:rPr>
        <w:t>領建造執照或雜項執照後再行建造或設置</w:t>
      </w:r>
      <w:r>
        <w:rPr>
          <w:rFonts w:ascii="標楷體" w:hAnsi="標楷體" w:eastAsia="標楷體"/>
          <w:color w:val="000000" w:themeColor="text1"/>
          <w:kern w:val="0"/>
          <w:sz w:val="28"/>
          <w:szCs w:val="28"/>
          <w:lang w:val="zh-TW"/>
        </w:rPr>
        <w:t>，違者，由甲方</w:t>
      </w:r>
      <w:r>
        <w:rPr>
          <w:rFonts w:ascii="標楷體" w:hAnsi="標楷體" w:eastAsia="標楷體"/>
          <w:color w:val="000000" w:themeColor="text1"/>
          <w:sz w:val="28"/>
          <w:szCs w:val="28"/>
        </w:rPr>
        <w:t>通知乙方於一個月內繳納發現時前一年度月租金額二倍之違約金。乙方未配合改正或於一個月期限內拆除擅自興建設備，回復原約定用途使用者，終止租約。租賃土地地上物如屬違章建築，乙方不得因取得土地承租權而對抗政府之取締。</w:t>
      </w:r>
    </w:p>
    <w:p>
      <w:pPr>
        <w:pStyle w:val="ListParagraph"/>
        <w:numPr>
          <w:ilvl w:val="0"/>
          <w:numId w:val="15"/>
        </w:numPr>
        <w:snapToGrid w:val="false"/>
        <w:spacing w:lineRule="exact" w:line="440"/>
        <w:ind w:left="1287" w:hanging="578"/>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w:t>
      </w:r>
      <w:r>
        <w:rPr>
          <w:rFonts w:ascii="標楷體" w:hAnsi="標楷體" w:eastAsia="標楷體"/>
          <w:color w:val="000000" w:themeColor="text1"/>
          <w:sz w:val="28"/>
          <w:szCs w:val="28"/>
        </w:rPr>
        <w:t>依前款約定於租賃土地上建造（設置）太陽光電發電設備，限乙方單獨所有，不得擅自移轉全部或一部與第三人所有，違者，終止租約。前</w:t>
      </w:r>
      <w:r>
        <w:rPr>
          <w:rFonts w:ascii="標楷體" w:hAnsi="標楷體" w:cs="Times New Roman" w:eastAsia="標楷體"/>
          <w:color w:val="000000" w:themeColor="text1"/>
          <w:kern w:val="0"/>
          <w:sz w:val="28"/>
          <w:szCs w:val="28"/>
        </w:rPr>
        <w:t>述設備</w:t>
      </w:r>
      <w:r>
        <w:rPr>
          <w:rFonts w:ascii="標楷體" w:hAnsi="標楷體" w:eastAsia="標楷體"/>
          <w:color w:val="000000" w:themeColor="text1"/>
          <w:sz w:val="28"/>
          <w:szCs w:val="28"/>
        </w:rPr>
        <w:t>完成時，應主動通知甲方，其得辦理建物所有權第一次登記者，乙方應辦理所有權第一次登記，並應會同甲方連件向登記機關辦理預告登記，禁止移轉或設定他項權利。乙方未會同甲方辦理預告登記者，甲方應通知乙方於一個月內繳納發現時前一年度月租金額二倍之違約金並會同補辦預告登記，乙方屆期未配合辦理，終止租約。</w:t>
      </w:r>
    </w:p>
    <w:p>
      <w:pPr>
        <w:pStyle w:val="ListParagraph"/>
        <w:numPr>
          <w:ilvl w:val="0"/>
          <w:numId w:val="15"/>
        </w:numPr>
        <w:snapToGrid w:val="false"/>
        <w:spacing w:lineRule="exact" w:line="440"/>
        <w:ind w:left="1287" w:hanging="578"/>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乙方應善盡管理之責，發現</w:t>
      </w:r>
      <w:r>
        <w:rPr>
          <w:rFonts w:ascii="標楷體" w:hAnsi="標楷體" w:eastAsia="標楷體"/>
          <w:color w:val="000000" w:themeColor="text1"/>
          <w:sz w:val="28"/>
          <w:szCs w:val="28"/>
        </w:rPr>
        <w:t>堆置雜物、</w:t>
      </w:r>
      <w:r>
        <w:rPr>
          <w:rFonts w:ascii="標楷體" w:hAnsi="標楷體" w:eastAsia="標楷體"/>
          <w:bCs/>
          <w:color w:val="000000" w:themeColor="text1"/>
          <w:sz w:val="28"/>
          <w:szCs w:val="28"/>
        </w:rPr>
        <w:t>掩埋廢棄物、破壞水土保持、土壤及地下水污染、</w:t>
      </w:r>
      <w:r>
        <w:rPr>
          <w:rFonts w:ascii="標楷體" w:hAnsi="標楷體" w:eastAsia="標楷體"/>
          <w:color w:val="000000" w:themeColor="text1"/>
          <w:sz w:val="28"/>
          <w:szCs w:val="28"/>
        </w:rPr>
        <w:t>其他減損租賃土地價值或效能之行為或</w:t>
      </w:r>
      <w:r>
        <w:rPr>
          <w:rFonts w:ascii="標楷體" w:hAnsi="標楷體" w:cs="Times New Roman" w:eastAsia="標楷體"/>
          <w:color w:val="000000" w:themeColor="text1"/>
          <w:kern w:val="0"/>
          <w:sz w:val="28"/>
          <w:szCs w:val="28"/>
        </w:rPr>
        <w:t>被占用情事，乙方應自行處理並通報甲方。</w:t>
      </w:r>
    </w:p>
    <w:p>
      <w:pPr>
        <w:pStyle w:val="ListParagraph"/>
        <w:numPr>
          <w:ilvl w:val="0"/>
          <w:numId w:val="15"/>
        </w:numPr>
        <w:snapToGrid w:val="false"/>
        <w:spacing w:lineRule="exact" w:line="440"/>
        <w:ind w:left="1531" w:hanging="964"/>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32"/>
        </w:rPr>
        <w:t>租賃範圍內如有遭棄置廢棄物或土壤、地下水污染情事者，乙方應負責自行依環保相關法令於限期內清除、改善及整治。</w:t>
      </w:r>
    </w:p>
    <w:p>
      <w:pPr>
        <w:pStyle w:val="ListParagraph"/>
        <w:numPr>
          <w:ilvl w:val="0"/>
          <w:numId w:val="15"/>
        </w:numPr>
        <w:snapToGrid w:val="false"/>
        <w:spacing w:lineRule="exact" w:line="440"/>
        <w:ind w:left="1531" w:hanging="964"/>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32"/>
        </w:rPr>
        <w:t>乙方應配合相關主管機關，遵守維護水土保持、環境影響、生態復育、環境保護暨職業安全等方面之要求。乙方因違反相關法令，經主管機關裁處甲方</w:t>
      </w:r>
      <w:r>
        <w:rPr>
          <w:rFonts w:ascii="標楷體" w:hAnsi="標楷體" w:eastAsia="標楷體"/>
          <w:color w:val="000000" w:themeColor="text1"/>
          <w:sz w:val="28"/>
          <w:szCs w:val="28"/>
        </w:rPr>
        <w:t>罰鍰</w:t>
      </w:r>
      <w:r>
        <w:rPr>
          <w:rFonts w:ascii="標楷體" w:hAnsi="標楷體" w:eastAsia="標楷體"/>
          <w:color w:val="000000" w:themeColor="text1"/>
          <w:sz w:val="28"/>
          <w:szCs w:val="32"/>
        </w:rPr>
        <w:t>等費用，應由乙方負擔，乙方並應負改善及賠償一切損失之責。</w:t>
      </w:r>
    </w:p>
    <w:p>
      <w:pPr>
        <w:pStyle w:val="Normal"/>
        <w:numPr>
          <w:ilvl w:val="0"/>
          <w:numId w:val="1"/>
        </w:numPr>
        <w:spacing w:lineRule="exact" w:line="420"/>
        <w:jc w:val="both"/>
        <w:rPr>
          <w:rFonts w:ascii="標楷體" w:hAnsi="標楷體" w:eastAsia="標楷體" w:cs="Times New Roman"/>
          <w:color w:val="000000" w:themeColor="text1"/>
          <w:w w:val="101"/>
          <w:kern w:val="0"/>
          <w:sz w:val="28"/>
          <w:szCs w:val="28"/>
        </w:rPr>
      </w:pPr>
      <w:r>
        <w:rPr>
          <w:rFonts w:ascii="標楷體" w:hAnsi="標楷體" w:eastAsia="標楷體"/>
          <w:color w:val="000000" w:themeColor="text1"/>
          <w:sz w:val="28"/>
          <w:szCs w:val="28"/>
        </w:rPr>
        <w:t>租賃土地之各項稅捐，除土地稅由甲方負擔外，其餘稅捐（包括但不限於營業稅）均由乙方負擔。工程受益費及其他費用依有關法令或約定辦理。</w:t>
      </w:r>
    </w:p>
    <w:p>
      <w:pPr>
        <w:pStyle w:val="Normal"/>
        <w:spacing w:lineRule="exact" w:line="440"/>
        <w:ind w:left="1140" w:hanging="0"/>
        <w:jc w:val="both"/>
        <w:rPr>
          <w:rFonts w:ascii="標楷體" w:hAnsi="標楷體" w:eastAsia="標楷體" w:cs="Times New Roman"/>
          <w:color w:val="000000" w:themeColor="text1"/>
          <w:w w:val="101"/>
          <w:kern w:val="0"/>
          <w:sz w:val="28"/>
          <w:szCs w:val="28"/>
        </w:rPr>
      </w:pPr>
      <w:r>
        <w:rPr>
          <w:rFonts w:ascii="標楷體" w:hAnsi="標楷體" w:eastAsia="標楷體"/>
          <w:color w:val="000000" w:themeColor="text1"/>
          <w:sz w:val="28"/>
          <w:szCs w:val="28"/>
        </w:rPr>
        <w:t>前項之稅捐，除約定由甲方負擔者外，如開徵名義人為甲方時，經甲方通知之日起五日內，乙方均應付清。</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回饋金計算方式：</w:t>
      </w:r>
    </w:p>
    <w:p>
      <w:pPr>
        <w:pStyle w:val="ListParagraph"/>
        <w:numPr>
          <w:ilvl w:val="0"/>
          <w:numId w:val="1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回饋金</w:t>
      </w:r>
      <w:r>
        <w:rPr>
          <w:rFonts w:eastAsia="標楷體" w:cs="Times New Roman" w:ascii="標楷體" w:hAnsi="標楷體"/>
          <w:color w:val="000000" w:themeColor="text1"/>
          <w:kern w:val="0"/>
          <w:sz w:val="28"/>
          <w:szCs w:val="28"/>
        </w:rPr>
        <w:t>=</w:t>
      </w:r>
      <w:r>
        <w:rPr>
          <w:rFonts w:ascii="標楷體" w:hAnsi="標楷體" w:cs="Times New Roman" w:eastAsia="標楷體"/>
          <w:color w:val="000000" w:themeColor="text1"/>
          <w:kern w:val="0"/>
          <w:sz w:val="28"/>
          <w:szCs w:val="28"/>
        </w:rPr>
        <w:t>售電收入（元）</w:t>
      </w:r>
      <w:r>
        <w:rPr>
          <w:rFonts w:eastAsia="標楷體" w:cs="Times New Roman" w:ascii="標楷體" w:hAnsi="標楷體"/>
          <w:color w:val="000000" w:themeColor="text1"/>
          <w:kern w:val="0"/>
          <w:sz w:val="28"/>
          <w:szCs w:val="28"/>
        </w:rPr>
        <w:t>×</w:t>
      </w:r>
      <w:r>
        <w:rPr>
          <w:rFonts w:ascii="標楷體" w:hAnsi="標楷體" w:cs="Times New Roman" w:eastAsia="標楷體"/>
          <w:color w:val="000000" w:themeColor="text1"/>
          <w:kern w:val="0"/>
          <w:sz w:val="28"/>
          <w:szCs w:val="28"/>
        </w:rPr>
        <w:t>回饋金</w:t>
      </w:r>
      <w:r>
        <w:rPr>
          <w:rFonts w:ascii="標楷體" w:hAnsi="標楷體" w:eastAsia="標楷體"/>
          <w:color w:val="000000" w:themeColor="text1"/>
          <w:sz w:val="28"/>
          <w:szCs w:val="32"/>
        </w:rPr>
        <w:t>比率（百分比）</w:t>
      </w:r>
      <w:r>
        <w:rPr>
          <w:rFonts w:ascii="標楷體" w:hAnsi="標楷體" w:cs="Times New Roman" w:eastAsia="標楷體"/>
          <w:color w:val="000000" w:themeColor="text1"/>
          <w:kern w:val="0"/>
          <w:sz w:val="28"/>
          <w:szCs w:val="28"/>
        </w:rPr>
        <w:t>（％）。</w:t>
      </w:r>
    </w:p>
    <w:p>
      <w:pPr>
        <w:pStyle w:val="ListParagraph"/>
        <w:numPr>
          <w:ilvl w:val="0"/>
          <w:numId w:val="1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kern w:val="0"/>
          <w:sz w:val="28"/>
          <w:szCs w:val="28"/>
        </w:rPr>
        <w:t>售電收入（元）</w:t>
      </w:r>
      <w:r>
        <w:rPr>
          <w:rFonts w:eastAsia="標楷體" w:cs="Times New Roman" w:ascii="標楷體" w:hAnsi="標楷體"/>
          <w:kern w:val="0"/>
          <w:sz w:val="28"/>
          <w:szCs w:val="28"/>
        </w:rPr>
        <w:t>=</w:t>
      </w:r>
      <w:r>
        <w:rPr>
          <w:rFonts w:ascii="標楷體" w:hAnsi="標楷體" w:eastAsia="標楷體"/>
          <w:sz w:val="28"/>
          <w:szCs w:val="32"/>
        </w:rPr>
        <w:t>太陽光電發電設備發電量（度）</w:t>
      </w:r>
      <w:r>
        <w:rPr>
          <w:rFonts w:eastAsia="標楷體" w:ascii="標楷體" w:hAnsi="標楷體"/>
          <w:sz w:val="28"/>
          <w:szCs w:val="32"/>
        </w:rPr>
        <w:t>×</w:t>
      </w:r>
      <w:r>
        <w:rPr>
          <w:rFonts w:ascii="標楷體" w:hAnsi="標楷體" w:eastAsia="標楷體"/>
          <w:color w:val="FF0000"/>
          <w:sz w:val="28"/>
          <w:szCs w:val="32"/>
        </w:rPr>
        <w:t>實際售電每度單價</w:t>
      </w:r>
      <w:r>
        <w:rPr>
          <w:rFonts w:ascii="標楷體" w:hAnsi="標楷體" w:eastAsia="標楷體"/>
          <w:sz w:val="28"/>
          <w:szCs w:val="32"/>
        </w:rPr>
        <w:t>（元）。</w:t>
      </w:r>
    </w:p>
    <w:p>
      <w:pPr>
        <w:pStyle w:val="ListParagraph"/>
        <w:numPr>
          <w:ilvl w:val="0"/>
          <w:numId w:val="1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回饋金</w:t>
      </w:r>
      <w:r>
        <w:rPr>
          <w:rFonts w:ascii="標楷體" w:hAnsi="標楷體" w:eastAsia="標楷體"/>
          <w:color w:val="000000" w:themeColor="text1"/>
          <w:sz w:val="28"/>
          <w:szCs w:val="32"/>
        </w:rPr>
        <w:t>比率（百分比）</w:t>
      </w:r>
      <w:r>
        <w:rPr>
          <w:rFonts w:ascii="標楷體" w:hAnsi="標楷體" w:cs="Times New Roman" w:eastAsia="標楷體"/>
          <w:color w:val="000000" w:themeColor="text1"/>
          <w:kern w:val="0"/>
          <w:sz w:val="28"/>
          <w:szCs w:val="28"/>
        </w:rPr>
        <w:t>（％）為乙方得標時承諾願支付之售電收入百分比</w:t>
      </w:r>
      <w:r>
        <w:rPr>
          <w:rFonts w:eastAsia="標楷體" w:cs="Times New Roman" w:ascii="標楷體" w:hAnsi="標楷體"/>
          <w:color w:val="000000" w:themeColor="text1"/>
          <w:kern w:val="0"/>
          <w:sz w:val="28"/>
          <w:szCs w:val="28"/>
        </w:rPr>
        <w:t>:</w:t>
      </w:r>
      <w:r>
        <w:rPr>
          <w:rFonts w:eastAsia="標楷體" w:cs="Times New Roman" w:ascii="標楷體" w:hAnsi="標楷體"/>
          <w:color w:val="000000" w:themeColor="text1"/>
          <w:kern w:val="0"/>
          <w:sz w:val="28"/>
          <w:szCs w:val="28"/>
          <w:highlight w:val="yellow"/>
        </w:rPr>
        <w:t>___</w:t>
      </w:r>
      <w:r>
        <w:rPr>
          <w:rFonts w:ascii="標楷體" w:hAnsi="標楷體" w:cs="Times New Roman" w:eastAsia="標楷體"/>
          <w:color w:val="000000" w:themeColor="text1"/>
          <w:kern w:val="0"/>
          <w:sz w:val="28"/>
          <w:szCs w:val="28"/>
          <w:highlight w:val="yellow"/>
        </w:rPr>
        <w:t>％</w:t>
      </w:r>
      <w:r>
        <w:rPr>
          <w:rFonts w:ascii="標楷體" w:hAnsi="標楷體" w:cs="Times New Roman" w:eastAsia="標楷體"/>
          <w:color w:val="000000" w:themeColor="text1"/>
          <w:kern w:val="0"/>
          <w:sz w:val="28"/>
          <w:szCs w:val="28"/>
        </w:rPr>
        <w:t>。</w:t>
      </w:r>
    </w:p>
    <w:p>
      <w:pPr>
        <w:pStyle w:val="ListParagraph"/>
        <w:numPr>
          <w:ilvl w:val="0"/>
          <w:numId w:val="1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有關太陽光電發電設備發電量（度）計算基準：</w:t>
      </w:r>
    </w:p>
    <w:p>
      <w:pPr>
        <w:pStyle w:val="ListParagraph"/>
        <w:numPr>
          <w:ilvl w:val="0"/>
          <w:numId w:val="3"/>
        </w:numPr>
        <w:snapToGrid w:val="false"/>
        <w:spacing w:lineRule="exact" w:line="400"/>
        <w:jc w:val="both"/>
        <w:rPr>
          <w:rFonts w:ascii="標楷體" w:hAnsi="標楷體" w:eastAsia="標楷體"/>
          <w:color w:val="000000" w:themeColor="text1"/>
          <w:sz w:val="28"/>
          <w:szCs w:val="32"/>
        </w:rPr>
      </w:pPr>
      <w:r>
        <w:rPr>
          <w:rFonts w:ascii="標楷體" w:hAnsi="標楷體" w:cs="Times New Roman" w:eastAsia="標楷體"/>
          <w:color w:val="000000" w:themeColor="text1"/>
          <w:kern w:val="0"/>
          <w:sz w:val="28"/>
          <w:szCs w:val="28"/>
        </w:rPr>
        <w:t>北部地區每年不得低於每瓩發電度數</w:t>
      </w:r>
      <w:r>
        <w:rPr>
          <w:rFonts w:eastAsia="標楷體" w:cs="Times New Roman" w:ascii="標楷體" w:hAnsi="標楷體"/>
          <w:color w:val="000000" w:themeColor="text1"/>
          <w:kern w:val="0"/>
          <w:sz w:val="28"/>
          <w:szCs w:val="28"/>
        </w:rPr>
        <w:t>1,050</w:t>
      </w:r>
      <w:r>
        <w:rPr>
          <w:rFonts w:ascii="標楷體" w:hAnsi="標楷體" w:cs="Times New Roman" w:eastAsia="標楷體"/>
          <w:color w:val="000000" w:themeColor="text1"/>
          <w:kern w:val="0"/>
          <w:sz w:val="28"/>
          <w:szCs w:val="28"/>
        </w:rPr>
        <w:t>（度），其他地區每年不得低於每瓩發電度數</w:t>
      </w:r>
      <w:r>
        <w:rPr>
          <w:rFonts w:eastAsia="標楷體" w:cs="Times New Roman" w:ascii="標楷體" w:hAnsi="標楷體"/>
          <w:color w:val="000000" w:themeColor="text1"/>
          <w:kern w:val="0"/>
          <w:sz w:val="28"/>
          <w:szCs w:val="28"/>
        </w:rPr>
        <w:t>1,250</w:t>
      </w:r>
      <w:r>
        <w:rPr>
          <w:rFonts w:ascii="標楷體" w:hAnsi="標楷體" w:cs="Times New Roman" w:eastAsia="標楷體"/>
          <w:color w:val="000000" w:themeColor="text1"/>
          <w:kern w:val="0"/>
          <w:sz w:val="28"/>
          <w:szCs w:val="28"/>
        </w:rPr>
        <w:t>（度），若有低於者，則以</w:t>
      </w:r>
      <w:r>
        <w:rPr>
          <w:rFonts w:ascii="標楷體" w:hAnsi="標楷體" w:eastAsia="標楷體"/>
          <w:color w:val="000000" w:themeColor="text1"/>
          <w:sz w:val="28"/>
          <w:szCs w:val="32"/>
        </w:rPr>
        <w:t>該地區每瓩發電度數下限計算，</w:t>
      </w:r>
      <w:r>
        <w:rPr>
          <w:rFonts w:ascii="標楷體" w:hAnsi="標楷體" w:cs="Times New Roman" w:eastAsia="標楷體"/>
          <w:color w:val="000000" w:themeColor="text1"/>
          <w:kern w:val="0"/>
          <w:sz w:val="28"/>
          <w:szCs w:val="28"/>
        </w:rPr>
        <w:t>若有高於者，則以最高每瓩發電度數計算。</w:t>
      </w:r>
      <w:r>
        <w:rPr>
          <w:rFonts w:ascii="標楷體" w:hAnsi="標楷體" w:eastAsia="標楷體"/>
          <w:color w:val="000000" w:themeColor="text1"/>
          <w:sz w:val="28"/>
          <w:szCs w:val="32"/>
        </w:rPr>
        <w:t>（未滿一年者按日數比例計算）</w:t>
      </w:r>
    </w:p>
    <w:p>
      <w:pPr>
        <w:pStyle w:val="ListParagraph"/>
        <w:numPr>
          <w:ilvl w:val="0"/>
          <w:numId w:val="3"/>
        </w:numPr>
        <w:snapToGrid w:val="false"/>
        <w:spacing w:lineRule="exact" w:line="400"/>
        <w:jc w:val="both"/>
        <w:rPr>
          <w:rFonts w:ascii="標楷體" w:hAnsi="標楷體" w:eastAsia="標楷體" w:cs="Times New Roman"/>
          <w:color w:val="0000FF"/>
          <w:kern w:val="0"/>
          <w:sz w:val="28"/>
          <w:szCs w:val="28"/>
        </w:rPr>
      </w:pPr>
      <w:r>
        <w:rPr>
          <w:rFonts w:ascii="標楷體" w:hAnsi="標楷體" w:cs="Times New Roman" w:eastAsia="標楷體"/>
          <w:color w:val="000000" w:themeColor="text1"/>
          <w:kern w:val="0"/>
          <w:sz w:val="28"/>
          <w:szCs w:val="28"/>
        </w:rPr>
        <w:t>北部地區包含苗栗縣、新竹縣、新竹市、桃園市、新北市、臺北市、基隆市、宜蘭縣以及花蓮縣等縣市，未包含縣市為其他地區。</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eastAsia="標楷體"/>
          <w:color w:val="000000" w:themeColor="text1"/>
          <w:sz w:val="28"/>
          <w:szCs w:val="28"/>
        </w:rPr>
        <w:t>年租金計算基準及繳納方式如下</w:t>
      </w:r>
      <w:r>
        <w:rPr>
          <w:rFonts w:ascii="標楷體" w:hAnsi="標楷體" w:cs="Times New Roman" w:eastAsia="標楷體"/>
          <w:color w:val="000000" w:themeColor="text1"/>
          <w:w w:val="101"/>
          <w:kern w:val="0"/>
          <w:sz w:val="28"/>
          <w:szCs w:val="28"/>
        </w:rPr>
        <w:t>：</w:t>
      </w:r>
    </w:p>
    <w:p>
      <w:pPr>
        <w:pStyle w:val="ListParagraph"/>
        <w:numPr>
          <w:ilvl w:val="0"/>
          <w:numId w:val="1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年租金</w:t>
      </w:r>
      <w:r>
        <w:rPr>
          <w:rFonts w:ascii="標楷體" w:hAnsi="標楷體" w:eastAsia="標楷體"/>
          <w:color w:val="000000" w:themeColor="text1"/>
          <w:sz w:val="28"/>
          <w:szCs w:val="32"/>
        </w:rPr>
        <w:t>應於租約</w:t>
      </w:r>
      <w:r>
        <w:rPr>
          <w:rFonts w:ascii="標楷體" w:hAnsi="標楷體" w:eastAsia="標楷體"/>
          <w:sz w:val="28"/>
          <w:szCs w:val="32"/>
        </w:rPr>
        <w:t>起租</w:t>
      </w:r>
      <w:r>
        <w:rPr>
          <w:rFonts w:ascii="標楷體" w:hAnsi="標楷體" w:eastAsia="標楷體"/>
          <w:color w:val="000000" w:themeColor="text1"/>
          <w:sz w:val="28"/>
          <w:szCs w:val="32"/>
        </w:rPr>
        <w:t>日起算：</w:t>
      </w:r>
    </w:p>
    <w:p>
      <w:pPr>
        <w:pStyle w:val="ListParagraph"/>
        <w:widowControl w:val="false"/>
        <w:numPr>
          <w:ilvl w:val="0"/>
          <w:numId w:val="26"/>
        </w:numPr>
        <w:suppressAutoHyphens w:val="true"/>
        <w:overflowPunct w:val="false"/>
        <w:bidi w:val="0"/>
        <w:snapToGrid w:val="false"/>
        <w:spacing w:lineRule="exact" w:line="400" w:before="0" w:after="0"/>
        <w:ind w:left="1605" w:hanging="482"/>
        <w:jc w:val="both"/>
        <w:rPr>
          <w:rFonts w:ascii="標楷體" w:hAnsi="標楷體" w:eastAsia="標楷體" w:cs="標楷體"/>
          <w:color w:val="FF0000"/>
          <w:sz w:val="28"/>
          <w:szCs w:val="28"/>
        </w:rPr>
      </w:pPr>
      <w:r>
        <w:rPr>
          <w:rFonts w:ascii="標楷體" w:hAnsi="標楷體" w:cs="標楷體" w:eastAsia="標楷體"/>
          <w:color w:val="FF0000"/>
          <w:sz w:val="28"/>
          <w:szCs w:val="28"/>
        </w:rPr>
        <w:t>在第五條第（一）款設置期限內，按土地當期依法應繳納之地價稅計收。但在設置期限內已完成設置工作（即提前完成），依第八點回饋金計收。</w:t>
      </w:r>
    </w:p>
    <w:p>
      <w:pPr>
        <w:pStyle w:val="ListParagraph"/>
        <w:numPr>
          <w:ilvl w:val="0"/>
          <w:numId w:val="26"/>
        </w:numPr>
        <w:overflowPunct w:val="false"/>
        <w:snapToGrid w:val="false"/>
        <w:spacing w:lineRule="exact" w:line="400"/>
        <w:ind w:left="1605" w:hanging="482"/>
        <w:jc w:val="both"/>
        <w:rPr>
          <w:rFonts w:ascii="標楷體" w:hAnsi="標楷體" w:eastAsia="標楷體" w:cs="Times New Roman"/>
          <w:strike/>
          <w:color w:val="0000FF"/>
          <w:kern w:val="0"/>
          <w:sz w:val="28"/>
          <w:szCs w:val="28"/>
        </w:rPr>
      </w:pPr>
      <w:r>
        <w:rPr>
          <w:rFonts w:ascii="標楷體" w:hAnsi="標楷體" w:cs="標楷體" w:eastAsia="標楷體"/>
          <w:color w:val="FF0000"/>
          <w:sz w:val="28"/>
          <w:szCs w:val="28"/>
        </w:rPr>
        <w:t>若乙方逾設置期限未</w:t>
      </w:r>
      <w:r>
        <w:rPr>
          <w:rFonts w:ascii="標楷體" w:hAnsi="標楷體" w:cs="標楷體" w:eastAsia="標楷體"/>
          <w:color w:val="FF0000"/>
          <w:kern w:val="2"/>
          <w:sz w:val="28"/>
          <w:szCs w:val="32"/>
          <w:u w:val="none"/>
          <w:lang w:val="en-US" w:eastAsia="zh-TW" w:bidi="ar-SA"/>
        </w:rPr>
        <w:t>完成設置工作</w:t>
      </w:r>
      <w:r>
        <w:rPr>
          <w:rFonts w:ascii="標楷體" w:hAnsi="標楷體" w:cs="標楷體" w:eastAsia="標楷體"/>
          <w:color w:val="FF0000"/>
          <w:sz w:val="28"/>
          <w:szCs w:val="28"/>
        </w:rPr>
        <w:t>者，或乙方所完成目的事業主管機關核准裝置容量低於基本設備裝置容量者，年租金以基本設備裝置容量、該地區每年每瓩發電度數下限、回饋金比率與當期目的事業主管機關公告躉購價格四者之乘積值，與目的事業主管機關核准裝置容量發電量售電收入計算之回饋金，從高計收，但屬不可歸責乙方者，不在此限。逾設置期限未</w:t>
      </w:r>
      <w:r>
        <w:rPr>
          <w:rFonts w:ascii="標楷體" w:hAnsi="標楷體" w:cs="標楷體" w:eastAsia="標楷體"/>
          <w:color w:val="FF0000"/>
          <w:kern w:val="2"/>
          <w:sz w:val="28"/>
          <w:szCs w:val="32"/>
          <w:u w:val="none"/>
          <w:lang w:val="en-US" w:eastAsia="zh-TW" w:bidi="ar-SA"/>
        </w:rPr>
        <w:t>完成設置工作</w:t>
      </w:r>
      <w:r>
        <w:rPr>
          <w:rFonts w:ascii="標楷體" w:hAnsi="標楷體" w:cs="標楷體" w:eastAsia="標楷體"/>
          <w:color w:val="FF0000"/>
          <w:sz w:val="28"/>
          <w:szCs w:val="28"/>
        </w:rPr>
        <w:t>者，應依第十條第（二）款加收懲罰性違約金。</w:t>
      </w:r>
    </w:p>
    <w:p>
      <w:pPr>
        <w:pStyle w:val="ListParagraph"/>
        <w:numPr>
          <w:ilvl w:val="0"/>
          <w:numId w:val="1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年租金按年</w:t>
      </w:r>
      <w:r>
        <w:rPr>
          <w:rFonts w:ascii="標楷體" w:hAnsi="標楷體" w:eastAsia="標楷體"/>
          <w:color w:val="000000" w:themeColor="text1"/>
          <w:sz w:val="28"/>
          <w:szCs w:val="32"/>
        </w:rPr>
        <w:t>繳納，乙方應於每年的一月一日至三十一日期間內，製作前一年一月至十二月年租金（回饋金）繳納明細表，並經會計師簽章後，以掛號郵寄（以郵戳為憑）至甲方</w:t>
      </w:r>
      <w:r>
        <w:rPr>
          <w:rFonts w:ascii="標楷體" w:hAnsi="標楷體" w:cs="Times New Roman" w:eastAsia="標楷體"/>
          <w:color w:val="000000" w:themeColor="text1"/>
          <w:kern w:val="0"/>
          <w:sz w:val="28"/>
          <w:szCs w:val="28"/>
        </w:rPr>
        <w:t>。</w:t>
      </w:r>
      <w:r>
        <w:rPr>
          <w:rFonts w:ascii="標楷體" w:hAnsi="標楷體" w:eastAsia="標楷體"/>
          <w:color w:val="000000" w:themeColor="text1"/>
          <w:sz w:val="28"/>
          <w:szCs w:val="32"/>
        </w:rPr>
        <w:t>但租約終止或租期屆滿（未獲續租）當年度之年租金，應於通知租約終止、不同意續租或租期屆滿之日起一個月內依前述方式辦理。</w:t>
      </w:r>
    </w:p>
    <w:p>
      <w:pPr>
        <w:pStyle w:val="ListParagraph"/>
        <w:numPr>
          <w:ilvl w:val="0"/>
          <w:numId w:val="1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甲方應於收到</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繳納明細表後，開立繳款通知單予乙方，乙方應於繳款通知單寄出當日（以郵戳為憑）起三十日內至甲方指定處所繳納該期</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。乙方未收到繳款通知單者，應自動洽甲方補單繳納；乙方未洽甲方補單致</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逾期未繳，</w:t>
      </w:r>
      <w:r>
        <w:rPr>
          <w:rFonts w:ascii="標楷體" w:hAnsi="標楷體" w:eastAsia="標楷體"/>
          <w:color w:val="000000" w:themeColor="text1"/>
          <w:sz w:val="28"/>
          <w:szCs w:val="32"/>
        </w:rPr>
        <w:t>應依第十條第（一）款規定加收逾期違約金</w:t>
      </w:r>
      <w:r>
        <w:rPr>
          <w:rFonts w:ascii="標楷體" w:hAnsi="標楷體" w:cs="Times New Roman" w:eastAsia="標楷體"/>
          <w:color w:val="000000" w:themeColor="text1"/>
          <w:kern w:val="0"/>
          <w:sz w:val="28"/>
          <w:szCs w:val="28"/>
        </w:rPr>
        <w:t>。</w:t>
      </w:r>
    </w:p>
    <w:p>
      <w:pPr>
        <w:pStyle w:val="ListParagraph"/>
        <w:numPr>
          <w:ilvl w:val="0"/>
          <w:numId w:val="1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乙方於租賃期間內地址變更時，應即以掛號郵件通知甲方更正，如未通知，致甲方依租約所載地址寄發繳款通知單被退回，且未於繳費期限前通知甲方另行補寄新址，</w:t>
      </w:r>
      <w:r>
        <w:rPr>
          <w:rFonts w:ascii="標楷體" w:hAnsi="標楷體" w:eastAsia="標楷體"/>
          <w:color w:val="000000" w:themeColor="text1"/>
          <w:sz w:val="28"/>
          <w:szCs w:val="32"/>
        </w:rPr>
        <w:t>致逾期繳納年租金，應依第十條第（一）款規定加收逾期違約金。</w:t>
      </w:r>
    </w:p>
    <w:p>
      <w:pPr>
        <w:pStyle w:val="ListParagraph"/>
        <w:numPr>
          <w:ilvl w:val="0"/>
          <w:numId w:val="1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上述</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，如乙方未於繳納期限內繳納，甲方應依</w:t>
      </w:r>
      <w:r>
        <w:rPr>
          <w:rFonts w:ascii="標楷體" w:hAnsi="標楷體" w:eastAsia="標楷體"/>
          <w:color w:val="000000" w:themeColor="text1"/>
          <w:sz w:val="28"/>
          <w:szCs w:val="32"/>
        </w:rPr>
        <w:t>第十條第（一）款規定於乙方繳納年租金後，</w:t>
      </w:r>
      <w:r>
        <w:rPr>
          <w:rFonts w:ascii="標楷體" w:hAnsi="標楷體" w:cs="Times New Roman" w:eastAsia="標楷體"/>
          <w:color w:val="000000" w:themeColor="text1"/>
          <w:kern w:val="0"/>
          <w:sz w:val="28"/>
          <w:szCs w:val="28"/>
        </w:rPr>
        <w:t>計算開立逾期違約金繳款單，乙方應於甲方指定期限內繳納完畢。如該期</w:t>
      </w:r>
      <w:r>
        <w:rPr>
          <w:rFonts w:ascii="標楷體" w:hAnsi="標楷體" w:cs="Times New Roman" w:eastAsia="標楷體"/>
          <w:color w:val="FF0000"/>
          <w:kern w:val="0"/>
          <w:sz w:val="28"/>
          <w:szCs w:val="28"/>
        </w:rPr>
        <w:t>應繳納之</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逾期達四個月並經甲方催告乙方限期繳納，逾期仍未繳納者，甲方得終止租約。</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逾期違約金及懲罰性違約金計算方式：</w:t>
      </w:r>
    </w:p>
    <w:p>
      <w:pPr>
        <w:pStyle w:val="ListParagraph"/>
        <w:numPr>
          <w:ilvl w:val="0"/>
          <w:numId w:val="18"/>
        </w:numPr>
        <w:snapToGrid w:val="false"/>
        <w:spacing w:lineRule="exact" w:line="400"/>
        <w:jc w:val="both"/>
        <w:rPr>
          <w:rFonts w:ascii="標楷體" w:hAnsi="標楷體" w:eastAsia="標楷體" w:cs="Times New Roman"/>
          <w:color w:val="000000" w:themeColor="text1"/>
          <w:sz w:val="28"/>
          <w:szCs w:val="28"/>
        </w:rPr>
      </w:pPr>
      <w:r>
        <w:rPr>
          <w:rFonts w:ascii="標楷體" w:hAnsi="標楷體" w:cs="Times New Roman" w:eastAsia="標楷體"/>
          <w:color w:val="000000" w:themeColor="text1"/>
          <w:kern w:val="0"/>
          <w:sz w:val="28"/>
          <w:szCs w:val="28"/>
        </w:rPr>
        <w:t>每期</w:t>
      </w:r>
      <w:r>
        <w:rPr>
          <w:rFonts w:ascii="標楷體" w:hAnsi="標楷體" w:eastAsia="標楷體"/>
          <w:color w:val="000000" w:themeColor="text1"/>
          <w:sz w:val="28"/>
          <w:szCs w:val="32"/>
        </w:rPr>
        <w:t>年租金</w:t>
      </w:r>
      <w:r>
        <w:rPr>
          <w:rFonts w:ascii="標楷體" w:hAnsi="標楷體" w:cs="Times New Roman" w:eastAsia="標楷體"/>
          <w:color w:val="000000" w:themeColor="text1"/>
          <w:kern w:val="0"/>
          <w:sz w:val="28"/>
          <w:szCs w:val="28"/>
        </w:rPr>
        <w:t>逾期繳納時，應依下列各款之一加收逾期違約金：</w:t>
      </w:r>
    </w:p>
    <w:p>
      <w:pPr>
        <w:pStyle w:val="ListParagraph"/>
        <w:numPr>
          <w:ilvl w:val="0"/>
          <w:numId w:val="2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逾期繳納未滿一月者，照欠額加收百分之二。</w:t>
      </w:r>
    </w:p>
    <w:p>
      <w:pPr>
        <w:pStyle w:val="ListParagraph"/>
        <w:numPr>
          <w:ilvl w:val="0"/>
          <w:numId w:val="2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逾期繳納在一個月個以上未滿二個月者，照欠額加收百分之四。</w:t>
      </w:r>
    </w:p>
    <w:p>
      <w:pPr>
        <w:pStyle w:val="ListParagraph"/>
        <w:numPr>
          <w:ilvl w:val="0"/>
          <w:numId w:val="2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逾期繳納在二個月以上未滿三個月者，照欠額加收百分之八。</w:t>
      </w:r>
    </w:p>
    <w:p>
      <w:pPr>
        <w:pStyle w:val="ListParagraph"/>
        <w:numPr>
          <w:ilvl w:val="0"/>
          <w:numId w:val="22"/>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逾期繳納在三個月以上者，一律照欠額加收百分之十。</w:t>
      </w:r>
    </w:p>
    <w:p>
      <w:pPr>
        <w:pStyle w:val="ListParagraph"/>
        <w:numPr>
          <w:ilvl w:val="0"/>
          <w:numId w:val="18"/>
        </w:numPr>
        <w:snapToGrid w:val="false"/>
        <w:spacing w:lineRule="exact" w:line="400"/>
        <w:jc w:val="both"/>
        <w:rPr>
          <w:rFonts w:ascii="標楷體" w:hAnsi="標楷體" w:eastAsia="標楷體" w:cs="Times New Roman"/>
          <w:kern w:val="0"/>
          <w:sz w:val="28"/>
          <w:szCs w:val="28"/>
        </w:rPr>
      </w:pPr>
      <w:r>
        <w:rPr>
          <w:rFonts w:ascii="標楷體" w:hAnsi="標楷體" w:cs="標楷體" w:eastAsia="標楷體"/>
          <w:color w:val="FF0000"/>
          <w:kern w:val="2"/>
          <w:sz w:val="28"/>
          <w:szCs w:val="28"/>
          <w:lang w:val="en-US" w:eastAsia="zh-TW" w:bidi="ar-SA"/>
        </w:rPr>
        <w:t>未能於設置期限內</w:t>
      </w:r>
      <w:r>
        <w:rPr>
          <w:rFonts w:ascii="標楷體" w:hAnsi="標楷體" w:cs="標楷體" w:eastAsia="標楷體"/>
          <w:color w:val="FF0000"/>
          <w:kern w:val="2"/>
          <w:sz w:val="28"/>
          <w:szCs w:val="32"/>
          <w:u w:val="none"/>
          <w:lang w:val="en-US" w:eastAsia="zh-TW" w:bidi="ar-SA"/>
        </w:rPr>
        <w:t>完成設置工作者</w:t>
      </w:r>
      <w:r>
        <w:rPr>
          <w:rFonts w:ascii="標楷體" w:hAnsi="標楷體" w:cs="標楷體" w:eastAsia="標楷體"/>
          <w:color w:val="FF0000"/>
          <w:kern w:val="2"/>
          <w:sz w:val="28"/>
          <w:szCs w:val="28"/>
          <w:lang w:val="en-US" w:eastAsia="zh-TW" w:bidi="ar-SA"/>
        </w:rPr>
        <w:t>，</w:t>
      </w:r>
      <w:r>
        <w:rPr>
          <w:rFonts w:ascii="標楷體" w:hAnsi="標楷體" w:eastAsia="標楷體"/>
          <w:color w:val="FF0000"/>
          <w:sz w:val="28"/>
          <w:szCs w:val="28"/>
        </w:rPr>
        <w:t>每逾期</w:t>
      </w:r>
      <w:r>
        <w:rPr>
          <w:rFonts w:eastAsia="標楷體" w:ascii="標楷體" w:hAnsi="標楷體"/>
          <w:color w:val="FF0000"/>
          <w:sz w:val="28"/>
          <w:szCs w:val="28"/>
        </w:rPr>
        <w:t>1</w:t>
      </w:r>
      <w:r>
        <w:rPr>
          <w:rFonts w:ascii="標楷體" w:hAnsi="標楷體" w:eastAsia="標楷體"/>
          <w:color w:val="FF0000"/>
          <w:sz w:val="28"/>
          <w:szCs w:val="28"/>
        </w:rPr>
        <w:t>日應處履約保證金</w:t>
      </w:r>
      <w:r>
        <w:rPr>
          <w:rFonts w:eastAsia="標楷體" w:ascii="標楷體" w:hAnsi="標楷體"/>
          <w:color w:val="FF0000"/>
          <w:sz w:val="28"/>
          <w:szCs w:val="28"/>
        </w:rPr>
        <w:t>2‰</w:t>
      </w:r>
      <w:r>
        <w:rPr>
          <w:rFonts w:ascii="標楷體" w:hAnsi="標楷體" w:eastAsia="標楷體"/>
          <w:color w:val="FF0000"/>
          <w:sz w:val="28"/>
          <w:szCs w:val="28"/>
        </w:rPr>
        <w:t>作為懲罰性違約金</w:t>
      </w:r>
      <w:r>
        <w:rPr>
          <w:rFonts w:ascii="標楷體" w:hAnsi="標楷體" w:eastAsia="標楷體"/>
          <w:sz w:val="28"/>
          <w:szCs w:val="28"/>
        </w:rPr>
        <w:t>。但</w:t>
      </w:r>
      <w:r>
        <w:rPr>
          <w:rFonts w:ascii="標楷體" w:hAnsi="標楷體" w:eastAsia="標楷體"/>
          <w:color w:val="FF0000"/>
          <w:sz w:val="28"/>
          <w:szCs w:val="28"/>
        </w:rPr>
        <w:t>未能於設置期限內</w:t>
      </w:r>
      <w:r>
        <w:rPr>
          <w:rFonts w:ascii="標楷體" w:hAnsi="標楷體" w:eastAsia="標楷體"/>
          <w:sz w:val="28"/>
          <w:szCs w:val="28"/>
        </w:rPr>
        <w:t>完成</w:t>
      </w:r>
      <w:r>
        <w:rPr>
          <w:rFonts w:ascii="標楷體" w:hAnsi="標楷體" w:eastAsia="標楷體"/>
          <w:color w:val="FF0000"/>
          <w:sz w:val="28"/>
          <w:szCs w:val="28"/>
        </w:rPr>
        <w:t>設置</w:t>
      </w:r>
      <w:r>
        <w:rPr>
          <w:rFonts w:ascii="標楷體" w:hAnsi="標楷體" w:eastAsia="標楷體"/>
          <w:sz w:val="28"/>
          <w:szCs w:val="28"/>
        </w:rPr>
        <w:t>確屬不可歸責乙方，乙方應檢送足資證明文件予甲方，倘涉相關主管機關權責事項，由甲方洽商意見後據以認定得否免計收懲罰性違約金，或扣除該事由所產生逾期日數計收之。</w:t>
      </w:r>
    </w:p>
    <w:p>
      <w:pPr>
        <w:pStyle w:val="ListParagraph"/>
        <w:numPr>
          <w:ilvl w:val="0"/>
          <w:numId w:val="18"/>
        </w:numPr>
        <w:snapToGrid w:val="false"/>
        <w:spacing w:lineRule="exact" w:line="400"/>
        <w:jc w:val="both"/>
        <w:rPr>
          <w:rFonts w:ascii="標楷體" w:hAnsi="標楷體" w:eastAsia="標楷體"/>
          <w:color w:val="FF0000"/>
          <w:sz w:val="28"/>
          <w:szCs w:val="28"/>
        </w:rPr>
      </w:pPr>
      <w:r>
        <w:rPr>
          <w:rFonts w:ascii="標楷體" w:hAnsi="標楷體" w:eastAsia="標楷體"/>
          <w:color w:val="FF0000"/>
          <w:sz w:val="28"/>
          <w:szCs w:val="28"/>
        </w:rPr>
        <w:t>違反綠電轉供作業之罰則：</w:t>
      </w:r>
    </w:p>
    <w:p>
      <w:pPr>
        <w:pStyle w:val="Normal"/>
        <w:numPr>
          <w:ilvl w:val="0"/>
          <w:numId w:val="29"/>
        </w:numPr>
        <w:snapToGrid w:val="false"/>
        <w:spacing w:lineRule="exact" w:line="400" w:before="0" w:after="0"/>
        <w:contextualSpacing/>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乙方未依標準局媒合作業程序規定期限辦理者，應按年租金</w:t>
      </w:r>
      <w:r>
        <w:rPr>
          <w:rFonts w:eastAsia="標楷體" w:cs="Times New Roman" w:ascii="標楷體" w:hAnsi="標楷體"/>
          <w:color w:val="FF0000"/>
          <w:kern w:val="0"/>
          <w:sz w:val="28"/>
          <w:szCs w:val="28"/>
        </w:rPr>
        <w:t>×</w:t>
      </w:r>
      <w:r>
        <w:rPr>
          <w:rFonts w:ascii="標楷體" w:hAnsi="標楷體" w:cs="Times New Roman" w:eastAsia="標楷體"/>
          <w:color w:val="FF0000"/>
          <w:kern w:val="0"/>
          <w:sz w:val="28"/>
          <w:szCs w:val="28"/>
        </w:rPr>
        <w:t>（</w:t>
      </w:r>
      <w:r>
        <w:rPr>
          <w:rFonts w:eastAsia="標楷體" w:cs="Times New Roman" w:ascii="標楷體" w:hAnsi="標楷體"/>
          <w:color w:val="FF0000"/>
          <w:kern w:val="0"/>
          <w:sz w:val="28"/>
          <w:szCs w:val="28"/>
        </w:rPr>
        <w:t>1/365</w:t>
      </w:r>
      <w:r>
        <w:rPr>
          <w:rFonts w:ascii="標楷體" w:hAnsi="標楷體" w:cs="Times New Roman" w:eastAsia="標楷體"/>
          <w:color w:val="FF0000"/>
          <w:kern w:val="0"/>
          <w:sz w:val="28"/>
          <w:szCs w:val="28"/>
        </w:rPr>
        <w:t>）</w:t>
      </w:r>
      <w:r>
        <w:rPr>
          <w:rFonts w:eastAsia="標楷體" w:cs="Times New Roman" w:ascii="標楷體" w:hAnsi="標楷體"/>
          <w:color w:val="FF0000"/>
          <w:kern w:val="0"/>
          <w:sz w:val="28"/>
          <w:szCs w:val="28"/>
        </w:rPr>
        <w:t>×</w:t>
      </w:r>
      <w:r>
        <w:rPr>
          <w:rFonts w:ascii="標楷體" w:hAnsi="標楷體" w:cs="Times New Roman" w:eastAsia="標楷體"/>
          <w:color w:val="FF0000"/>
          <w:kern w:val="0"/>
          <w:sz w:val="28"/>
          <w:szCs w:val="28"/>
        </w:rPr>
        <w:t>逾期日數，計收逾期違約金，至乙方完成履行為止。甲方並得視違反情形終止租約。</w:t>
      </w:r>
    </w:p>
    <w:p>
      <w:pPr>
        <w:pStyle w:val="Normal"/>
        <w:numPr>
          <w:ilvl w:val="0"/>
          <w:numId w:val="29"/>
        </w:numPr>
        <w:snapToGrid w:val="false"/>
        <w:spacing w:lineRule="exact" w:line="400" w:before="0" w:after="0"/>
        <w:contextualSpacing/>
        <w:jc w:val="both"/>
        <w:rPr>
          <w:rFonts w:ascii="標楷體" w:hAnsi="標楷體" w:eastAsia="標楷體" w:cs="Times New Roman"/>
          <w:color w:val="FF0000"/>
          <w:kern w:val="0"/>
          <w:sz w:val="28"/>
          <w:szCs w:val="28"/>
        </w:rPr>
      </w:pPr>
      <w:r>
        <w:rPr>
          <w:rFonts w:ascii="標楷體" w:hAnsi="標楷體" w:cs="Times New Roman" w:eastAsia="標楷體"/>
          <w:color w:val="FF0000"/>
          <w:kern w:val="0"/>
          <w:sz w:val="28"/>
          <w:szCs w:val="28"/>
        </w:rPr>
        <w:t>乙方與第三人私下議約、未依契約要求條件進行綠電媒合售電者，標租機關得就該違反部分之發電度數計算之年租金作為懲罰性違約金，如致甲方受有損害並應賠償，其數額另行計算。甲方並得視違反情形終止租約之一部或全部。</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 xml:space="preserve"> </w:t>
      </w:r>
      <w:r>
        <w:rPr>
          <w:rFonts w:ascii="標楷體" w:hAnsi="標楷體" w:cs="Times New Roman" w:eastAsia="標楷體"/>
          <w:color w:val="000000" w:themeColor="text1"/>
          <w:w w:val="101"/>
          <w:kern w:val="0"/>
          <w:sz w:val="28"/>
          <w:szCs w:val="28"/>
        </w:rPr>
        <w:t>履約保證金：</w:t>
      </w:r>
    </w:p>
    <w:p>
      <w:pPr>
        <w:pStyle w:val="ListParagraph"/>
        <w:numPr>
          <w:ilvl w:val="0"/>
          <w:numId w:val="19"/>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本租約應繳交履約保證金金額為</w:t>
      </w:r>
      <w:r>
        <w:rPr>
          <w:rFonts w:ascii="標楷體" w:hAnsi="標楷體" w:eastAsia="標楷體"/>
          <w:sz w:val="28"/>
          <w:szCs w:val="28"/>
        </w:rPr>
        <w:t>新臺幣</w:t>
      </w:r>
      <w:r>
        <w:rPr>
          <w:rFonts w:eastAsia="標楷體" w:ascii="標楷體" w:hAnsi="標楷體"/>
          <w:sz w:val="28"/>
          <w:szCs w:val="28"/>
          <w:highlight w:val="yellow"/>
        </w:rPr>
        <w:t>OOO</w:t>
      </w:r>
      <w:r>
        <w:rPr>
          <w:rFonts w:ascii="標楷體" w:hAnsi="標楷體" w:eastAsia="標楷體"/>
          <w:sz w:val="28"/>
          <w:szCs w:val="28"/>
          <w:highlight w:val="yellow"/>
        </w:rPr>
        <w:t>萬元</w:t>
      </w:r>
      <w:r>
        <w:rPr>
          <w:rFonts w:ascii="標楷體" w:hAnsi="標楷體" w:cs="Times New Roman" w:eastAsia="標楷體"/>
          <w:kern w:val="0"/>
          <w:sz w:val="28"/>
          <w:szCs w:val="28"/>
        </w:rPr>
        <w:t>（計算式：</w:t>
      </w:r>
      <w:r>
        <w:rPr>
          <w:rFonts w:ascii="標楷體" w:hAnsi="標楷體" w:eastAsia="標楷體"/>
          <w:color w:val="FF0000"/>
          <w:sz w:val="28"/>
          <w:szCs w:val="28"/>
        </w:rPr>
        <w:t>基本</w:t>
      </w:r>
      <w:r>
        <w:rPr>
          <w:rFonts w:ascii="標楷體" w:hAnsi="標楷體" w:cs="Times New Roman" w:eastAsia="標楷體"/>
          <w:kern w:val="0"/>
          <w:sz w:val="28"/>
          <w:szCs w:val="28"/>
        </w:rPr>
        <w:t>設備裝置容量（</w:t>
      </w:r>
      <w:r>
        <w:rPr>
          <w:rFonts w:eastAsia="標楷體" w:cs="Times New Roman" w:ascii="標楷體" w:hAnsi="標楷體"/>
          <w:kern w:val="0"/>
          <w:sz w:val="28"/>
          <w:szCs w:val="28"/>
        </w:rPr>
        <w:t>kWp</w:t>
      </w:r>
      <w:r>
        <w:rPr>
          <w:rFonts w:ascii="標楷體" w:hAnsi="標楷體" w:cs="Times New Roman" w:eastAsia="標楷體"/>
          <w:kern w:val="0"/>
          <w:sz w:val="28"/>
          <w:szCs w:val="28"/>
        </w:rPr>
        <w:t>）</w:t>
      </w:r>
      <w:r>
        <w:rPr>
          <w:rFonts w:eastAsia="標楷體" w:cs="Times New Roman" w:ascii="標楷體" w:hAnsi="標楷體"/>
          <w:color w:val="FF0000"/>
          <w:kern w:val="0"/>
          <w:sz w:val="28"/>
          <w:szCs w:val="28"/>
        </w:rPr>
        <w:t>×</w:t>
      </w:r>
      <w:r>
        <w:rPr>
          <w:rFonts w:ascii="標楷體" w:hAnsi="標楷體" w:cs="Times New Roman" w:eastAsia="標楷體"/>
          <w:color w:val="F10D0C"/>
          <w:kern w:val="0"/>
          <w:sz w:val="28"/>
          <w:szCs w:val="28"/>
        </w:rPr>
        <w:t>新臺幣</w:t>
      </w:r>
      <w:r>
        <w:rPr>
          <w:rFonts w:eastAsia="標楷體" w:cs="Times New Roman" w:ascii="標楷體" w:hAnsi="標楷體"/>
          <w:color w:val="F10D0C"/>
          <w:kern w:val="0"/>
          <w:sz w:val="28"/>
          <w:szCs w:val="28"/>
        </w:rPr>
        <w:t>5,000</w:t>
      </w:r>
      <w:r>
        <w:rPr>
          <w:rFonts w:ascii="標楷體" w:hAnsi="標楷體" w:cs="Times New Roman" w:eastAsia="標楷體"/>
          <w:kern w:val="0"/>
          <w:sz w:val="28"/>
          <w:szCs w:val="28"/>
        </w:rPr>
        <w:t>（元</w:t>
      </w:r>
      <w:r>
        <w:rPr>
          <w:rFonts w:eastAsia="標楷體" w:cs="Times New Roman" w:ascii="標楷體" w:hAnsi="標楷體"/>
          <w:kern w:val="0"/>
          <w:sz w:val="28"/>
          <w:szCs w:val="28"/>
        </w:rPr>
        <w:t>/kWp</w:t>
      </w:r>
      <w:r>
        <w:rPr>
          <w:rFonts w:ascii="標楷體" w:hAnsi="標楷體" w:cs="Times New Roman" w:eastAsia="標楷體"/>
          <w:kern w:val="0"/>
          <w:sz w:val="28"/>
          <w:szCs w:val="28"/>
        </w:rPr>
        <w:t>））。</w:t>
      </w:r>
    </w:p>
    <w:p>
      <w:pPr>
        <w:pStyle w:val="ListParagraph"/>
        <w:numPr>
          <w:ilvl w:val="0"/>
          <w:numId w:val="1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w:t>
      </w:r>
      <w:r>
        <w:rPr>
          <w:rFonts w:ascii="標楷體" w:hAnsi="標楷體" w:eastAsia="標楷體"/>
          <w:color w:val="000000" w:themeColor="text1"/>
          <w:sz w:val="28"/>
          <w:szCs w:val="32"/>
        </w:rPr>
        <w:t>有下列情形之一者，以繳納之履約保證金扣抵或沒收：</w:t>
      </w:r>
    </w:p>
    <w:p>
      <w:pPr>
        <w:pStyle w:val="ListParagraph"/>
        <w:numPr>
          <w:ilvl w:val="0"/>
          <w:numId w:val="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因可歸責於</w:t>
      </w:r>
      <w:r>
        <w:rPr>
          <w:rFonts w:ascii="標楷體" w:hAnsi="標楷體" w:cs="Times New Roman" w:eastAsia="標楷體"/>
          <w:color w:val="000000" w:themeColor="text1"/>
          <w:kern w:val="0"/>
          <w:sz w:val="28"/>
          <w:szCs w:val="28"/>
        </w:rPr>
        <w:t>乙方</w:t>
      </w:r>
      <w:r>
        <w:rPr>
          <w:rFonts w:ascii="標楷體" w:hAnsi="標楷體" w:eastAsia="標楷體"/>
          <w:color w:val="000000" w:themeColor="text1"/>
          <w:sz w:val="28"/>
          <w:szCs w:val="28"/>
        </w:rPr>
        <w:t>之事由，致部分終止租約者，沒收依該部分所占租約全部比率計算之履約保證金金額；全部終止租約者，沒收全部履約保證金。</w:t>
      </w:r>
    </w:p>
    <w:p>
      <w:pPr>
        <w:pStyle w:val="ListParagraph"/>
        <w:numPr>
          <w:ilvl w:val="0"/>
          <w:numId w:val="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未依租約規定期限履行租約之一部或全部，其違約金由履約保證金扣抵</w:t>
      </w:r>
      <w:r>
        <w:rPr>
          <w:rFonts w:ascii="標楷體" w:hAnsi="標楷體" w:cs="Times New Roman" w:eastAsia="標楷體"/>
          <w:color w:val="000000" w:themeColor="text1"/>
          <w:kern w:val="0"/>
          <w:sz w:val="28"/>
          <w:szCs w:val="28"/>
        </w:rPr>
        <w:t>。</w:t>
      </w:r>
    </w:p>
    <w:p>
      <w:pPr>
        <w:pStyle w:val="ListParagraph"/>
        <w:numPr>
          <w:ilvl w:val="0"/>
          <w:numId w:val="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其他因可歸責於乙方之事由，致甲方遭受損害，其應由乙方賠償而未賠償者，由履約保證金扣抵。</w:t>
      </w:r>
    </w:p>
    <w:p>
      <w:pPr>
        <w:pStyle w:val="ListParagraph"/>
        <w:numPr>
          <w:ilvl w:val="0"/>
          <w:numId w:val="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32"/>
        </w:rPr>
        <w:t>租約終止或租期屆滿，乙方欠繳租金、違約金、補償金、拆除地上物、損害賠償等費用之金額，</w:t>
      </w:r>
      <w:r>
        <w:rPr>
          <w:rFonts w:ascii="標楷體" w:hAnsi="標楷體" w:eastAsia="標楷體"/>
          <w:color w:val="000000" w:themeColor="text1"/>
          <w:sz w:val="28"/>
          <w:szCs w:val="28"/>
        </w:rPr>
        <w:t>由履約保證金扣抵。</w:t>
      </w:r>
    </w:p>
    <w:p>
      <w:pPr>
        <w:pStyle w:val="ListParagraph"/>
        <w:numPr>
          <w:ilvl w:val="0"/>
          <w:numId w:val="5"/>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其他依租約約定得扣抵或沒收者。</w:t>
      </w:r>
    </w:p>
    <w:p>
      <w:pPr>
        <w:pStyle w:val="ListParagraph"/>
        <w:numPr>
          <w:ilvl w:val="0"/>
          <w:numId w:val="1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履約保證金退還方式：</w:t>
      </w:r>
    </w:p>
    <w:p>
      <w:pPr>
        <w:pStyle w:val="ListParagraph"/>
        <w:snapToGrid w:val="false"/>
        <w:spacing w:lineRule="exact" w:line="400"/>
        <w:ind w:left="1286" w:hanging="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租約終止或</w:t>
      </w:r>
      <w:r>
        <w:rPr>
          <w:rFonts w:ascii="標楷體" w:hAnsi="標楷體" w:eastAsia="標楷體"/>
          <w:color w:val="000000" w:themeColor="text1"/>
          <w:sz w:val="28"/>
          <w:szCs w:val="32"/>
        </w:rPr>
        <w:t>租期屆滿</w:t>
      </w:r>
      <w:r>
        <w:rPr>
          <w:rFonts w:ascii="標楷體" w:hAnsi="標楷體" w:cs="Times New Roman" w:eastAsia="標楷體"/>
          <w:color w:val="000000" w:themeColor="text1"/>
          <w:kern w:val="0"/>
          <w:sz w:val="28"/>
          <w:szCs w:val="28"/>
        </w:rPr>
        <w:t>或因其他原因致租賃關係消滅後，除依租約約定沒收履約保證金外，扣抵</w:t>
      </w:r>
      <w:r>
        <w:rPr>
          <w:rFonts w:ascii="標楷體" w:hAnsi="標楷體" w:eastAsia="標楷體"/>
          <w:color w:val="000000" w:themeColor="text1"/>
          <w:sz w:val="28"/>
          <w:szCs w:val="32"/>
        </w:rPr>
        <w:t>乙方欠繳租金、違約金、補償金、拆除地上物、損害賠償等費用之金額，</w:t>
      </w:r>
      <w:r>
        <w:rPr>
          <w:rFonts w:ascii="標楷體" w:hAnsi="標楷體" w:cs="Times New Roman" w:eastAsia="標楷體"/>
          <w:color w:val="000000" w:themeColor="text1"/>
          <w:kern w:val="0"/>
          <w:sz w:val="28"/>
          <w:szCs w:val="28"/>
        </w:rPr>
        <w:t xml:space="preserve">如有不足，由乙方另行支付，於乙方將租賃土地回復原狀交還甲方後，無息返還履約保證金或其餘額。 </w:t>
      </w:r>
    </w:p>
    <w:p>
      <w:pPr>
        <w:pStyle w:val="ListParagraph"/>
        <w:numPr>
          <w:ilvl w:val="0"/>
          <w:numId w:val="1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履約保證金之發還，依下列原則處理：</w:t>
      </w:r>
    </w:p>
    <w:p>
      <w:pPr>
        <w:pStyle w:val="ListParagraph"/>
        <w:numPr>
          <w:ilvl w:val="0"/>
          <w:numId w:val="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以現金、郵政匯票或票據繳納者，以現金或記載原繳納人為受款人之禁止背書轉讓即期支票發還。</w:t>
      </w:r>
    </w:p>
    <w:p>
      <w:pPr>
        <w:pStyle w:val="ListParagraph"/>
        <w:numPr>
          <w:ilvl w:val="0"/>
          <w:numId w:val="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以設定質權之金融機構定期存款單繳納者，以質權消滅通知書通知該質權設定之金融機構。</w:t>
      </w:r>
    </w:p>
    <w:p>
      <w:pPr>
        <w:pStyle w:val="ListParagraph"/>
        <w:numPr>
          <w:ilvl w:val="0"/>
          <w:numId w:val="6"/>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以銀行之書面連帶保證繳納者，發還連帶保證之銀行。但銀行不要求發還或已屆期失效者，得免發還。</w:t>
      </w:r>
    </w:p>
    <w:p>
      <w:pPr>
        <w:pStyle w:val="ListParagraph"/>
        <w:numPr>
          <w:ilvl w:val="0"/>
          <w:numId w:val="19"/>
        </w:numPr>
        <w:snapToGrid w:val="false"/>
        <w:spacing w:lineRule="exact" w:line="400"/>
        <w:jc w:val="both"/>
        <w:rPr>
          <w:rFonts w:ascii="標楷體" w:hAnsi="標楷體" w:eastAsia="標楷體" w:cs="Times New Roman"/>
          <w:color w:val="000000" w:themeColor="text1"/>
          <w:kern w:val="0"/>
          <w:sz w:val="28"/>
          <w:szCs w:val="28"/>
          <w:lang w:eastAsia="ja-JP"/>
        </w:rPr>
      </w:pPr>
      <w:r>
        <w:rPr>
          <w:rFonts w:ascii="標楷體" w:hAnsi="標楷體" w:cs="Times New Roman" w:eastAsia="標楷體"/>
          <w:color w:val="000000" w:themeColor="text1"/>
          <w:kern w:val="0"/>
          <w:sz w:val="28"/>
          <w:szCs w:val="28"/>
        </w:rPr>
        <w:t>保證書狀有效期之延長：</w:t>
      </w:r>
    </w:p>
    <w:p>
      <w:pPr>
        <w:pStyle w:val="ListParagraph"/>
        <w:numPr>
          <w:ilvl w:val="0"/>
          <w:numId w:val="2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乙方提供之保證</w:t>
      </w:r>
      <w:r>
        <w:rPr>
          <w:rFonts w:ascii="標楷體" w:hAnsi="標楷體" w:cs="Times New Roman" w:eastAsia="標楷體"/>
          <w:color w:val="000000" w:themeColor="text1"/>
          <w:kern w:val="0"/>
          <w:sz w:val="28"/>
          <w:szCs w:val="28"/>
        </w:rPr>
        <w:t>書狀</w:t>
      </w:r>
      <w:r>
        <w:rPr>
          <w:rFonts w:ascii="標楷體" w:hAnsi="標楷體" w:eastAsia="標楷體"/>
          <w:color w:val="000000" w:themeColor="text1"/>
          <w:sz w:val="28"/>
          <w:szCs w:val="28"/>
        </w:rPr>
        <w:t>每次有效期間至少五年，並於</w:t>
      </w:r>
      <w:r>
        <w:rPr>
          <w:rFonts w:ascii="標楷體" w:hAnsi="標楷體" w:cs="標楷體" w:eastAsia="標楷體"/>
          <w:color w:val="000000" w:themeColor="text1"/>
          <w:kern w:val="0"/>
          <w:sz w:val="28"/>
          <w:szCs w:val="28"/>
          <w:lang w:val="zh-TW"/>
        </w:rPr>
        <w:t>有效期間屆滿前三十日，提供更新後之</w:t>
      </w:r>
      <w:r>
        <w:rPr>
          <w:rFonts w:ascii="標楷體" w:hAnsi="標楷體" w:eastAsia="標楷體"/>
          <w:color w:val="000000" w:themeColor="text1"/>
          <w:sz w:val="28"/>
          <w:szCs w:val="28"/>
        </w:rPr>
        <w:t>履約保證</w:t>
      </w:r>
      <w:r>
        <w:rPr>
          <w:rFonts w:ascii="標楷體" w:hAnsi="標楷體" w:cs="標楷體" w:eastAsia="標楷體"/>
          <w:color w:val="000000" w:themeColor="text1"/>
          <w:kern w:val="0"/>
          <w:sz w:val="28"/>
          <w:szCs w:val="28"/>
          <w:lang w:val="zh-TW"/>
        </w:rPr>
        <w:t>替換之。</w:t>
      </w:r>
    </w:p>
    <w:p>
      <w:pPr>
        <w:pStyle w:val="ListParagraph"/>
        <w:numPr>
          <w:ilvl w:val="0"/>
          <w:numId w:val="2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乙方未依租約規定期限履約或因可歸責於乙方之事由，致有無法於保證書有效期內完成履約之虞，應按遲延期間延長之，迄期需達租期屆滿之次日加計九十日。</w:t>
      </w:r>
      <w:r>
        <w:rPr>
          <w:rFonts w:ascii="標楷體" w:hAnsi="標楷體" w:eastAsia="標楷體"/>
          <w:color w:val="000000" w:themeColor="text1"/>
          <w:kern w:val="0"/>
          <w:sz w:val="28"/>
          <w:szCs w:val="28"/>
        </w:rPr>
        <w:t>如有無法於延長之保證書有效期內依約將租賃土地回復原狀交還甲方之虞者，甲方得再通知延長。</w:t>
      </w:r>
    </w:p>
    <w:p>
      <w:pPr>
        <w:pStyle w:val="ListParagraph"/>
        <w:numPr>
          <w:ilvl w:val="0"/>
          <w:numId w:val="27"/>
        </w:numPr>
        <w:snapToGrid w:val="false"/>
        <w:spacing w:lineRule="exact" w:line="400"/>
        <w:jc w:val="both"/>
        <w:rPr>
          <w:rFonts w:ascii="標楷體" w:hAnsi="標楷體" w:eastAsia="標楷體" w:cs="Times New Roman"/>
          <w:color w:val="000000" w:themeColor="text1"/>
          <w:kern w:val="0"/>
          <w:sz w:val="28"/>
          <w:szCs w:val="28"/>
          <w:lang w:eastAsia="ja-JP"/>
        </w:rPr>
      </w:pPr>
      <w:r>
        <w:rPr>
          <w:rFonts w:ascii="標楷體" w:hAnsi="標楷體" w:cs="Times New Roman" w:eastAsia="標楷體"/>
          <w:color w:val="000000" w:themeColor="text1"/>
          <w:kern w:val="0"/>
          <w:sz w:val="28"/>
          <w:szCs w:val="28"/>
        </w:rPr>
        <w:t>乙方未依前二目辦理或未依甲方之通知予以延長者，甲方將於有效期屆滿前就該保證書金額請求給付並暫予保管，其所生費用由乙方負擔。</w:t>
      </w:r>
    </w:p>
    <w:p>
      <w:pPr>
        <w:pStyle w:val="ListParagraph"/>
        <w:numPr>
          <w:ilvl w:val="0"/>
          <w:numId w:val="19"/>
        </w:numPr>
        <w:snapToGrid w:val="false"/>
        <w:spacing w:lineRule="exact" w:line="400"/>
        <w:jc w:val="both"/>
        <w:rPr>
          <w:rFonts w:ascii="標楷體" w:hAnsi="標楷體" w:eastAsia="標楷體" w:cs="Times New Roman"/>
          <w:color w:val="000000" w:themeColor="text1"/>
          <w:kern w:val="0"/>
          <w:sz w:val="28"/>
          <w:szCs w:val="28"/>
          <w:lang w:eastAsia="ja-JP"/>
        </w:rPr>
      </w:pPr>
      <w:r>
        <w:rPr>
          <w:rFonts w:ascii="標楷體" w:hAnsi="標楷體" w:cs="Times New Roman" w:eastAsia="標楷體"/>
          <w:color w:val="000000" w:themeColor="text1"/>
          <w:kern w:val="0"/>
          <w:sz w:val="28"/>
          <w:szCs w:val="28"/>
        </w:rPr>
        <w:t>乙方因違約致履約保證金不足本條第（一）款規定數額時，乙方應於甲方通知期限內補足差額，逾期未補足甲方得終止租約。</w:t>
      </w:r>
    </w:p>
    <w:p>
      <w:pPr>
        <w:pStyle w:val="Normal"/>
        <w:numPr>
          <w:ilvl w:val="0"/>
          <w:numId w:val="1"/>
        </w:numPr>
        <w:spacing w:lineRule="exact" w:line="460"/>
        <w:jc w:val="both"/>
        <w:rPr>
          <w:rFonts w:ascii="標楷體" w:hAnsi="標楷體" w:eastAsia="標楷體" w:cs="Times New Roman"/>
          <w:color w:val="000000" w:themeColor="text1"/>
          <w:w w:val="101"/>
          <w:kern w:val="0"/>
          <w:sz w:val="28"/>
          <w:szCs w:val="28"/>
        </w:rPr>
      </w:pPr>
      <w:r>
        <w:rPr>
          <w:rFonts w:ascii="標楷體" w:hAnsi="標楷體" w:cs="Times New Roman" w:eastAsia="標楷體"/>
          <w:color w:val="000000" w:themeColor="text1"/>
          <w:w w:val="101"/>
          <w:kern w:val="0"/>
          <w:sz w:val="28"/>
          <w:szCs w:val="28"/>
        </w:rPr>
        <w:t xml:space="preserve"> </w:t>
      </w:r>
      <w:r>
        <w:rPr>
          <w:rFonts w:ascii="標楷體" w:hAnsi="標楷體" w:cs="Times New Roman" w:eastAsia="標楷體"/>
          <w:color w:val="000000" w:themeColor="text1"/>
          <w:w w:val="101"/>
          <w:kern w:val="0"/>
          <w:sz w:val="28"/>
          <w:szCs w:val="28"/>
        </w:rPr>
        <w:t>保險：</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color w:val="000000" w:themeColor="text1"/>
          <w:kern w:val="0"/>
          <w:sz w:val="28"/>
          <w:szCs w:val="28"/>
        </w:rPr>
        <w:t>乙方應於租賃期間辦理公共意外責任險及營繕承包人責任保險，包括因業務疏漏、錯誤或過失，違反業務上之義務，致甲方或其他第三人</w:t>
      </w:r>
      <w:r>
        <w:rPr>
          <w:rFonts w:ascii="標楷體" w:hAnsi="標楷體" w:cs="Times New Roman" w:eastAsia="標楷體"/>
          <w:kern w:val="0"/>
          <w:sz w:val="28"/>
          <w:szCs w:val="28"/>
        </w:rPr>
        <w:t>受有之損失。</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保險期間自租約起租日起至租期屆滿之日止，如有申請換約續租者，保險期間比照順延。</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未經甲方同意之任何保險契約之變更或終止，視為違約論。</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保險單記載保險契約規定以外之不保事項者，其風險及可能之賠償由乙方負擔。</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乙方向保險人索賠所費時間，不得據以請求延長</w:t>
      </w:r>
      <w:r>
        <w:rPr>
          <w:rFonts w:ascii="標楷體" w:hAnsi="標楷體" w:cs="Times New Roman" w:eastAsia="標楷體"/>
          <w:color w:val="000000" w:themeColor="text1"/>
          <w:kern w:val="0"/>
          <w:sz w:val="28"/>
          <w:szCs w:val="28"/>
        </w:rPr>
        <w:t>租約租賃期間。</w:t>
      </w:r>
    </w:p>
    <w:p>
      <w:pPr>
        <w:pStyle w:val="ListParagraph"/>
        <w:numPr>
          <w:ilvl w:val="0"/>
          <w:numId w:val="7"/>
        </w:numPr>
        <w:snapToGrid w:val="false"/>
        <w:spacing w:lineRule="exact" w:line="400"/>
        <w:jc w:val="both"/>
        <w:rPr>
          <w:rFonts w:ascii="標楷體" w:hAnsi="標楷體" w:eastAsia="標楷體" w:cs="Times New Roman"/>
          <w:kern w:val="0"/>
          <w:sz w:val="28"/>
          <w:szCs w:val="28"/>
        </w:rPr>
      </w:pPr>
      <w:r>
        <w:rPr>
          <w:rFonts w:ascii="標楷體" w:hAnsi="標楷體" w:cs="Times New Roman" w:eastAsia="標楷體"/>
          <w:kern w:val="0"/>
          <w:sz w:val="28"/>
          <w:szCs w:val="28"/>
        </w:rPr>
        <w:t>乙方未依租約規定辦理保險、保險範圍不足或未能自保險人</w:t>
      </w:r>
      <w:r>
        <w:rPr>
          <w:rFonts w:ascii="標楷體" w:hAnsi="標楷體" w:cs="Times New Roman" w:eastAsia="標楷體"/>
          <w:color w:val="000000" w:themeColor="text1"/>
          <w:kern w:val="0"/>
          <w:sz w:val="28"/>
          <w:szCs w:val="28"/>
        </w:rPr>
        <w:t>獲得</w:t>
      </w:r>
      <w:r>
        <w:rPr>
          <w:rFonts w:ascii="標楷體" w:hAnsi="標楷體" w:cs="Times New Roman" w:eastAsia="標楷體"/>
          <w:kern w:val="0"/>
          <w:sz w:val="28"/>
          <w:szCs w:val="28"/>
        </w:rPr>
        <w:t>足額理賠者，其損失或損害賠償，由乙方負擔。</w:t>
      </w:r>
    </w:p>
    <w:p>
      <w:pPr>
        <w:pStyle w:val="ListParagraph"/>
        <w:numPr>
          <w:ilvl w:val="0"/>
          <w:numId w:val="7"/>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保險單及繳費收據於辦妥保險後由乙方自行收執保存。</w:t>
      </w:r>
    </w:p>
    <w:p>
      <w:pPr>
        <w:pStyle w:val="Normal"/>
        <w:numPr>
          <w:ilvl w:val="0"/>
          <w:numId w:val="1"/>
        </w:numPr>
        <w:spacing w:lineRule="exact" w:line="46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rPr>
        <w:t xml:space="preserve"> </w:t>
      </w:r>
      <w:r>
        <w:rPr>
          <w:rFonts w:ascii="標楷體" w:hAnsi="標楷體" w:cs="Times New Roman" w:eastAsia="標楷體"/>
          <w:w w:val="101"/>
          <w:kern w:val="0"/>
          <w:sz w:val="28"/>
          <w:szCs w:val="28"/>
        </w:rPr>
        <w:t>終止租約：</w:t>
      </w:r>
    </w:p>
    <w:p>
      <w:pPr>
        <w:pStyle w:val="ListParagraph"/>
        <w:numPr>
          <w:ilvl w:val="0"/>
          <w:numId w:val="8"/>
        </w:numPr>
        <w:snapToGrid w:val="false"/>
        <w:spacing w:lineRule="exact" w:line="400"/>
        <w:jc w:val="both"/>
        <w:rPr>
          <w:rFonts w:ascii="標楷體" w:hAnsi="標楷體" w:eastAsia="標楷體" w:cs="Times New Roman"/>
          <w:color w:val="000000" w:themeColor="text1"/>
          <w:sz w:val="28"/>
          <w:szCs w:val="28"/>
        </w:rPr>
      </w:pPr>
      <w:r>
        <w:rPr>
          <w:rFonts w:ascii="標楷體" w:hAnsi="標楷體" w:cs="Times New Roman" w:eastAsia="標楷體"/>
          <w:sz w:val="28"/>
          <w:szCs w:val="28"/>
        </w:rPr>
        <w:t xml:space="preserve"> </w:t>
      </w:r>
      <w:r>
        <w:rPr>
          <w:rFonts w:ascii="標楷體" w:hAnsi="標楷體" w:cs="Times New Roman" w:eastAsia="標楷體"/>
          <w:color w:val="000000" w:themeColor="text1"/>
          <w:sz w:val="28"/>
          <w:szCs w:val="28"/>
        </w:rPr>
        <w:t>有下列情形之一者，甲方得終止租約之一部或全部：</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舉辦公共、公用事業需要或依法變更使用。</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政府實施國家政策或都市計畫或土地重劃有收回必要。</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甲方</w:t>
      </w:r>
      <w:r>
        <w:rPr>
          <w:rFonts w:ascii="標楷體" w:hAnsi="標楷體" w:cs="Times New Roman" w:eastAsia="標楷體"/>
          <w:color w:val="000000" w:themeColor="text1"/>
          <w:sz w:val="28"/>
          <w:szCs w:val="28"/>
        </w:rPr>
        <w:t>因開發利用或另有處分計畫有收回必要。</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乙方未依本租約第六條、第七條、第九條、第十一條規定辦理，經甲方定相當期限，催告乙方改善，而逾期未改善。</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kern w:val="0"/>
          <w:sz w:val="28"/>
          <w:szCs w:val="28"/>
        </w:rPr>
        <w:t>乙方</w:t>
      </w:r>
      <w:r>
        <w:rPr>
          <w:rFonts w:ascii="標楷體" w:hAnsi="標楷體" w:cs="Times New Roman" w:eastAsia="標楷體"/>
          <w:color w:val="000000" w:themeColor="text1"/>
          <w:kern w:val="0"/>
          <w:sz w:val="28"/>
          <w:szCs w:val="28"/>
        </w:rPr>
        <w:t>未依約定期限繳交年租金、</w:t>
      </w:r>
      <w:r>
        <w:rPr>
          <w:rFonts w:ascii="標楷體" w:hAnsi="標楷體" w:eastAsia="標楷體"/>
          <w:color w:val="000000" w:themeColor="text1"/>
          <w:sz w:val="28"/>
          <w:szCs w:val="28"/>
        </w:rPr>
        <w:t>違約金</w:t>
      </w:r>
      <w:r>
        <w:rPr>
          <w:rFonts w:ascii="標楷體" w:hAnsi="標楷體" w:cs="Times New Roman" w:eastAsia="標楷體"/>
          <w:color w:val="000000" w:themeColor="text1"/>
          <w:kern w:val="0"/>
          <w:sz w:val="28"/>
          <w:szCs w:val="28"/>
        </w:rPr>
        <w:t>，經</w:t>
      </w:r>
      <w:r>
        <w:rPr>
          <w:rFonts w:ascii="標楷體" w:hAnsi="標楷體" w:eastAsia="標楷體"/>
          <w:color w:val="000000" w:themeColor="text1"/>
          <w:kern w:val="0"/>
          <w:sz w:val="28"/>
          <w:szCs w:val="28"/>
        </w:rPr>
        <w:t>甲方</w:t>
      </w:r>
      <w:r>
        <w:rPr>
          <w:rFonts w:ascii="標楷體" w:hAnsi="標楷體" w:cs="Times New Roman" w:eastAsia="標楷體"/>
          <w:color w:val="000000" w:themeColor="text1"/>
          <w:kern w:val="0"/>
          <w:sz w:val="28"/>
          <w:szCs w:val="28"/>
        </w:rPr>
        <w:t>限期催繳，屆期仍不繳納。</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乙方違背租約約定使用租賃土地，經</w:t>
      </w:r>
      <w:r>
        <w:rPr>
          <w:rFonts w:ascii="標楷體" w:hAnsi="標楷體" w:eastAsia="標楷體"/>
          <w:color w:val="000000" w:themeColor="text1"/>
          <w:kern w:val="0"/>
          <w:sz w:val="28"/>
          <w:szCs w:val="28"/>
        </w:rPr>
        <w:t>甲方</w:t>
      </w:r>
      <w:r>
        <w:rPr>
          <w:rFonts w:ascii="標楷體" w:hAnsi="標楷體" w:cs="Times New Roman" w:eastAsia="標楷體"/>
          <w:color w:val="000000" w:themeColor="text1"/>
          <w:kern w:val="0"/>
          <w:sz w:val="28"/>
          <w:szCs w:val="28"/>
        </w:rPr>
        <w:t>通知限期改善，屆期未改善。</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color w:val="000000" w:themeColor="text1"/>
          <w:sz w:val="28"/>
          <w:szCs w:val="28"/>
        </w:rPr>
        <w:t>乙方</w:t>
      </w:r>
      <w:r>
        <w:rPr>
          <w:rFonts w:ascii="標楷體" w:hAnsi="標楷體" w:cs="Times New Roman" w:eastAsia="標楷體"/>
          <w:color w:val="000000" w:themeColor="text1"/>
          <w:sz w:val="28"/>
          <w:szCs w:val="28"/>
        </w:rPr>
        <w:t>不繼續使用時或騰空地上物申請終止租約。</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乙方經法院裁定重整或宣告破產，進行破產法上之和解，或因違反法令經主管機關命令解散、停業或歇業者。</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因甲</w:t>
      </w:r>
      <w:r>
        <w:rPr>
          <w:rFonts w:ascii="標楷體" w:hAnsi="標楷體" w:eastAsia="標楷體"/>
          <w:color w:val="000000" w:themeColor="text1"/>
          <w:kern w:val="0"/>
          <w:sz w:val="28"/>
          <w:szCs w:val="28"/>
        </w:rPr>
        <w:t>方</w:t>
      </w:r>
      <w:r>
        <w:rPr>
          <w:rFonts w:ascii="標楷體" w:hAnsi="標楷體" w:cs="Times New Roman" w:eastAsia="標楷體"/>
          <w:color w:val="000000" w:themeColor="text1"/>
          <w:kern w:val="0"/>
          <w:sz w:val="28"/>
          <w:szCs w:val="28"/>
        </w:rPr>
        <w:t>收回部分租賃</w:t>
      </w:r>
      <w:r>
        <w:rPr>
          <w:rFonts w:ascii="標楷體" w:hAnsi="標楷體" w:eastAsia="標楷體"/>
          <w:color w:val="000000" w:themeColor="text1"/>
          <w:kern w:val="0"/>
          <w:sz w:val="28"/>
          <w:szCs w:val="28"/>
        </w:rPr>
        <w:t>土地</w:t>
      </w:r>
      <w:r>
        <w:rPr>
          <w:rFonts w:ascii="標楷體" w:hAnsi="標楷體" w:cs="Times New Roman" w:eastAsia="標楷體"/>
          <w:color w:val="000000" w:themeColor="text1"/>
          <w:kern w:val="0"/>
          <w:sz w:val="28"/>
          <w:szCs w:val="28"/>
        </w:rPr>
        <w:t>或不可歸責於</w:t>
      </w:r>
      <w:r>
        <w:rPr>
          <w:rFonts w:ascii="標楷體" w:hAnsi="標楷體" w:eastAsia="標楷體"/>
          <w:color w:val="000000" w:themeColor="text1"/>
          <w:kern w:val="0"/>
          <w:sz w:val="28"/>
          <w:szCs w:val="28"/>
        </w:rPr>
        <w:t>乙方</w:t>
      </w:r>
      <w:r>
        <w:rPr>
          <w:rFonts w:ascii="標楷體" w:hAnsi="標楷體" w:cs="Times New Roman" w:eastAsia="標楷體"/>
          <w:color w:val="000000" w:themeColor="text1"/>
          <w:kern w:val="0"/>
          <w:sz w:val="28"/>
          <w:szCs w:val="28"/>
        </w:rPr>
        <w:t>之原因，致租賃</w:t>
      </w:r>
      <w:r>
        <w:rPr>
          <w:rFonts w:ascii="標楷體" w:hAnsi="標楷體" w:eastAsia="標楷體"/>
          <w:color w:val="000000" w:themeColor="text1"/>
          <w:kern w:val="0"/>
          <w:sz w:val="28"/>
          <w:szCs w:val="28"/>
        </w:rPr>
        <w:t>土地</w:t>
      </w:r>
      <w:r>
        <w:rPr>
          <w:rFonts w:ascii="標楷體" w:hAnsi="標楷體" w:cs="Times New Roman" w:eastAsia="標楷體"/>
          <w:color w:val="000000" w:themeColor="text1"/>
          <w:kern w:val="0"/>
          <w:sz w:val="28"/>
          <w:szCs w:val="28"/>
        </w:rPr>
        <w:t>不能達原來使用之目的，經乙</w:t>
      </w:r>
      <w:r>
        <w:rPr>
          <w:rFonts w:ascii="標楷體" w:hAnsi="標楷體" w:eastAsia="標楷體"/>
          <w:color w:val="000000" w:themeColor="text1"/>
          <w:kern w:val="0"/>
          <w:sz w:val="28"/>
          <w:szCs w:val="28"/>
        </w:rPr>
        <w:t>方</w:t>
      </w:r>
      <w:r>
        <w:rPr>
          <w:rFonts w:ascii="標楷體" w:hAnsi="標楷體" w:cs="Times New Roman" w:eastAsia="標楷體"/>
          <w:color w:val="000000" w:themeColor="text1"/>
          <w:kern w:val="0"/>
          <w:sz w:val="28"/>
          <w:szCs w:val="28"/>
        </w:rPr>
        <w:t>申請終止租約。</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目的事業主管機關通知應收回。</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租約有需變更事項者，</w:t>
      </w:r>
      <w:r>
        <w:rPr>
          <w:rFonts w:ascii="標楷體" w:hAnsi="標楷體" w:eastAsia="標楷體"/>
          <w:color w:val="000000" w:themeColor="text1"/>
          <w:sz w:val="28"/>
          <w:szCs w:val="28"/>
        </w:rPr>
        <w:t>乙方</w:t>
      </w:r>
      <w:r>
        <w:rPr>
          <w:rFonts w:ascii="標楷體" w:hAnsi="標楷體" w:cs="Times New Roman" w:eastAsia="標楷體"/>
          <w:color w:val="000000" w:themeColor="text1"/>
          <w:sz w:val="28"/>
          <w:szCs w:val="28"/>
        </w:rPr>
        <w:t>不配合辦理公證。</w:t>
      </w:r>
    </w:p>
    <w:p>
      <w:pPr>
        <w:pStyle w:val="ListParagraph"/>
        <w:numPr>
          <w:ilvl w:val="0"/>
          <w:numId w:val="9"/>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其他依法令規定或本租約約定得終止租約。</w:t>
      </w:r>
    </w:p>
    <w:p>
      <w:pPr>
        <w:pStyle w:val="ListParagraph"/>
        <w:numPr>
          <w:ilvl w:val="0"/>
          <w:numId w:val="8"/>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sz w:val="28"/>
          <w:szCs w:val="28"/>
        </w:rPr>
        <w:t>甲方</w:t>
      </w:r>
      <w:r>
        <w:rPr>
          <w:rFonts w:ascii="標楷體" w:hAnsi="標楷體" w:eastAsia="標楷體"/>
          <w:color w:val="000000" w:themeColor="text1"/>
          <w:sz w:val="28"/>
          <w:szCs w:val="28"/>
        </w:rPr>
        <w:t>發現乙方不具投標資格時，應撤銷或終止租約，乙方已負擔之公證費或其他費用，不予退還；所繳之年租金及履約保證金，除乙方明知或因重大過失提供不正確資料，全額沒收外，依租約約定辦理。</w:t>
      </w:r>
    </w:p>
    <w:p>
      <w:pPr>
        <w:pStyle w:val="ListParagraph"/>
        <w:numPr>
          <w:ilvl w:val="0"/>
          <w:numId w:val="8"/>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eastAsia="標楷體"/>
          <w:bCs/>
          <w:color w:val="000000" w:themeColor="text1"/>
          <w:sz w:val="28"/>
          <w:szCs w:val="28"/>
        </w:rPr>
        <w:t>甲方依本條於租期屆滿前終止租約，屬不可歸責於乙方者，應自騰空</w:t>
      </w:r>
      <w:r>
        <w:rPr>
          <w:rFonts w:ascii="標楷體" w:hAnsi="標楷體" w:eastAsia="標楷體"/>
          <w:color w:val="000000" w:themeColor="text1"/>
          <w:sz w:val="28"/>
          <w:szCs w:val="28"/>
        </w:rPr>
        <w:t>收回租賃土地之日起，按面積比例及依第十一條第（一）款及第（三）款計算退還</w:t>
      </w:r>
      <w:r>
        <w:rPr>
          <w:rFonts w:ascii="標楷體" w:hAnsi="標楷體" w:cs="Times New Roman" w:eastAsia="標楷體"/>
          <w:color w:val="000000" w:themeColor="text1"/>
          <w:kern w:val="0"/>
          <w:sz w:val="28"/>
          <w:szCs w:val="28"/>
        </w:rPr>
        <w:t>履約保證金</w:t>
      </w:r>
      <w:r>
        <w:rPr>
          <w:rFonts w:ascii="標楷體" w:hAnsi="標楷體" w:eastAsia="標楷體"/>
          <w:color w:val="000000" w:themeColor="text1"/>
          <w:sz w:val="28"/>
          <w:szCs w:val="28"/>
        </w:rPr>
        <w:t>。</w:t>
      </w:r>
    </w:p>
    <w:p>
      <w:pPr>
        <w:pStyle w:val="Normal"/>
        <w:numPr>
          <w:ilvl w:val="0"/>
          <w:numId w:val="1"/>
        </w:numPr>
        <w:tabs>
          <w:tab w:val="clear" w:pos="480"/>
          <w:tab w:val="left" w:pos="1276" w:leader="none"/>
        </w:tabs>
        <w:spacing w:lineRule="exact" w:line="440"/>
        <w:ind w:left="990" w:hanging="990"/>
        <w:jc w:val="both"/>
        <w:rPr>
          <w:rFonts w:ascii="標楷體" w:hAnsi="標楷體" w:eastAsia="標楷體" w:cs="Times New Roman"/>
          <w:color w:val="000000" w:themeColor="text1"/>
          <w:sz w:val="28"/>
          <w:szCs w:val="28"/>
        </w:rPr>
      </w:pPr>
      <w:r>
        <w:rPr/>
        <w:t xml:space="preserve"> </w:t>
      </w:r>
      <w:r>
        <w:rPr>
          <w:rFonts w:ascii="標楷體" w:hAnsi="標楷體" w:cs="Times New Roman" w:eastAsia="標楷體"/>
          <w:color w:val="000000" w:themeColor="text1"/>
          <w:w w:val="101"/>
          <w:kern w:val="0"/>
          <w:sz w:val="28"/>
          <w:szCs w:val="28"/>
        </w:rPr>
        <w:t>租賃土地之返還：</w:t>
      </w:r>
    </w:p>
    <w:p>
      <w:pPr>
        <w:pStyle w:val="ListParagraph"/>
        <w:numPr>
          <w:ilvl w:val="0"/>
          <w:numId w:val="24"/>
        </w:numPr>
        <w:snapToGrid w:val="false"/>
        <w:spacing w:lineRule="exact" w:line="400"/>
        <w:jc w:val="both"/>
        <w:rPr>
          <w:rFonts w:ascii="標楷體" w:hAnsi="標楷體" w:eastAsia="標楷體"/>
          <w:color w:val="000000" w:themeColor="text1"/>
          <w:sz w:val="28"/>
          <w:szCs w:val="32"/>
        </w:rPr>
      </w:pPr>
      <w:r>
        <w:rPr>
          <w:rFonts w:ascii="標楷體" w:hAnsi="標楷體" w:eastAsia="標楷體"/>
          <w:bCs/>
          <w:color w:val="000000" w:themeColor="text1"/>
          <w:sz w:val="28"/>
          <w:szCs w:val="28"/>
        </w:rPr>
        <w:t>乙方</w:t>
      </w:r>
      <w:r>
        <w:rPr>
          <w:rFonts w:ascii="標楷體" w:hAnsi="標楷體" w:eastAsia="標楷體"/>
          <w:color w:val="000000" w:themeColor="text1"/>
          <w:sz w:val="28"/>
          <w:szCs w:val="32"/>
        </w:rPr>
        <w:t>於租約終止或租期屆滿未獲續租時，</w:t>
      </w:r>
      <w:r>
        <w:rPr>
          <w:rFonts w:ascii="標楷體" w:hAnsi="標楷體" w:cs="Times New Roman" w:eastAsia="標楷體"/>
          <w:color w:val="000000" w:themeColor="text1"/>
          <w:sz w:val="28"/>
          <w:szCs w:val="28"/>
        </w:rPr>
        <w:t>甲方</w:t>
      </w:r>
      <w:r>
        <w:rPr>
          <w:rFonts w:ascii="標楷體" w:hAnsi="標楷體" w:eastAsia="標楷體"/>
          <w:color w:val="000000" w:themeColor="text1"/>
          <w:sz w:val="28"/>
          <w:szCs w:val="32"/>
        </w:rPr>
        <w:t>優先決定是否保留太陽光電發電設備，</w:t>
      </w:r>
      <w:r>
        <w:rPr>
          <w:rFonts w:ascii="標楷體" w:hAnsi="標楷體" w:eastAsia="標楷體"/>
          <w:color w:val="000000" w:themeColor="text1"/>
          <w:kern w:val="0"/>
          <w:sz w:val="28"/>
          <w:szCs w:val="28"/>
        </w:rPr>
        <w:t>若保留太陽光電發電設備，則</w:t>
      </w:r>
      <w:r>
        <w:rPr>
          <w:rFonts w:ascii="標楷體" w:hAnsi="標楷體" w:cs="Times New Roman" w:eastAsia="標楷體"/>
          <w:color w:val="000000" w:themeColor="text1"/>
          <w:sz w:val="28"/>
          <w:szCs w:val="28"/>
        </w:rPr>
        <w:t>甲方</w:t>
      </w:r>
      <w:r>
        <w:rPr>
          <w:rFonts w:ascii="標楷體" w:hAnsi="標楷體" w:eastAsia="標楷體"/>
          <w:color w:val="000000" w:themeColor="text1"/>
          <w:kern w:val="0"/>
          <w:sz w:val="28"/>
          <w:szCs w:val="28"/>
        </w:rPr>
        <w:t>直接取得太陽光電發電設備所有權，</w:t>
      </w:r>
      <w:r>
        <w:rPr>
          <w:rFonts w:ascii="標楷體" w:hAnsi="標楷體" w:cs="Times New Roman" w:eastAsia="標楷體"/>
          <w:color w:val="000000" w:themeColor="text1"/>
          <w:sz w:val="28"/>
          <w:szCs w:val="28"/>
        </w:rPr>
        <w:t>乙方</w:t>
      </w:r>
      <w:r>
        <w:rPr>
          <w:rFonts w:ascii="標楷體" w:hAnsi="標楷體" w:eastAsia="標楷體"/>
          <w:color w:val="000000" w:themeColor="text1"/>
          <w:kern w:val="0"/>
          <w:sz w:val="28"/>
          <w:szCs w:val="28"/>
        </w:rPr>
        <w:t>不得有異議，並配合後續辦理移轉之行政程序</w:t>
      </w:r>
      <w:r>
        <w:rPr>
          <w:rFonts w:ascii="標楷體" w:hAnsi="標楷體" w:eastAsia="標楷體"/>
          <w:kern w:val="0"/>
          <w:sz w:val="28"/>
          <w:szCs w:val="28"/>
        </w:rPr>
        <w:t>；</w:t>
      </w:r>
      <w:r>
        <w:rPr>
          <w:rFonts w:ascii="標楷體" w:hAnsi="標楷體" w:eastAsia="標楷體"/>
          <w:color w:val="000000" w:themeColor="text1"/>
          <w:sz w:val="28"/>
          <w:szCs w:val="32"/>
        </w:rPr>
        <w:t>若不保留太陽光電發電設備，則</w:t>
      </w:r>
      <w:r>
        <w:rPr>
          <w:rFonts w:ascii="標楷體" w:hAnsi="標楷體" w:cs="Times New Roman" w:eastAsia="標楷體"/>
          <w:color w:val="000000" w:themeColor="text1"/>
          <w:sz w:val="28"/>
          <w:szCs w:val="28"/>
        </w:rPr>
        <w:t>乙方</w:t>
      </w:r>
      <w:r>
        <w:rPr>
          <w:rFonts w:ascii="標楷體" w:hAnsi="標楷體" w:eastAsia="標楷體"/>
          <w:color w:val="000000" w:themeColor="text1"/>
          <w:sz w:val="28"/>
          <w:szCs w:val="32"/>
        </w:rPr>
        <w:t>應於通知租約終止或通知不保留之次日起三個月內自行拆除太陽光電發電設備並返還租賃土地；</w:t>
      </w:r>
      <w:r>
        <w:rPr>
          <w:rFonts w:ascii="標楷體" w:hAnsi="標楷體" w:eastAsia="標楷體"/>
          <w:color w:val="000000" w:themeColor="text1"/>
          <w:sz w:val="28"/>
          <w:szCs w:val="28"/>
        </w:rPr>
        <w:t>屆期未拆除者，視為</w:t>
      </w:r>
      <w:r>
        <w:rPr>
          <w:rFonts w:ascii="標楷體" w:hAnsi="標楷體" w:cs="Times New Roman" w:eastAsia="標楷體"/>
          <w:color w:val="000000" w:themeColor="text1"/>
          <w:sz w:val="28"/>
          <w:szCs w:val="28"/>
        </w:rPr>
        <w:t>乙方</w:t>
      </w:r>
      <w:r>
        <w:rPr>
          <w:rFonts w:ascii="標楷體" w:hAnsi="標楷體" w:eastAsia="標楷體"/>
          <w:color w:val="000000" w:themeColor="text1"/>
          <w:sz w:val="28"/>
          <w:szCs w:val="28"/>
        </w:rPr>
        <w:t>拋棄相關設備之所有權，</w:t>
      </w:r>
      <w:r>
        <w:rPr>
          <w:rFonts w:ascii="標楷體" w:hAnsi="標楷體" w:cs="Times New Roman" w:eastAsia="標楷體"/>
          <w:color w:val="000000" w:themeColor="text1"/>
          <w:sz w:val="28"/>
          <w:szCs w:val="28"/>
        </w:rPr>
        <w:t>甲方</w:t>
      </w:r>
      <w:r>
        <w:rPr>
          <w:rFonts w:ascii="標楷體" w:hAnsi="標楷體" w:eastAsia="標楷體"/>
          <w:color w:val="000000" w:themeColor="text1"/>
          <w:sz w:val="28"/>
          <w:szCs w:val="28"/>
        </w:rPr>
        <w:t>得代為拆除，並由</w:t>
      </w:r>
      <w:r>
        <w:rPr>
          <w:rFonts w:ascii="標楷體" w:hAnsi="標楷體" w:cs="Times New Roman" w:eastAsia="標楷體"/>
          <w:color w:val="000000" w:themeColor="text1"/>
          <w:sz w:val="28"/>
          <w:szCs w:val="28"/>
        </w:rPr>
        <w:t>乙方</w:t>
      </w:r>
      <w:r>
        <w:rPr>
          <w:rFonts w:ascii="標楷體" w:hAnsi="標楷體" w:eastAsia="標楷體"/>
          <w:color w:val="000000" w:themeColor="text1"/>
          <w:sz w:val="28"/>
          <w:szCs w:val="28"/>
        </w:rPr>
        <w:t>負擔拆除費用及給付自租賃關係消滅至相關設備拆除日止之補償金，並</w:t>
      </w:r>
      <w:r>
        <w:rPr>
          <w:rFonts w:ascii="標楷體" w:hAnsi="標楷體" w:eastAsia="標楷體"/>
          <w:color w:val="000000" w:themeColor="text1"/>
          <w:sz w:val="28"/>
          <w:szCs w:val="32"/>
        </w:rPr>
        <w:t>得由</w:t>
      </w:r>
      <w:r>
        <w:rPr>
          <w:rFonts w:ascii="標楷體" w:hAnsi="標楷體" w:cs="Times New Roman" w:eastAsia="標楷體"/>
          <w:color w:val="000000" w:themeColor="text1"/>
          <w:sz w:val="28"/>
          <w:szCs w:val="28"/>
        </w:rPr>
        <w:t>乙方</w:t>
      </w:r>
      <w:r>
        <w:rPr>
          <w:rFonts w:ascii="標楷體" w:hAnsi="標楷體" w:eastAsia="標楷體"/>
          <w:color w:val="000000" w:themeColor="text1"/>
          <w:sz w:val="28"/>
          <w:szCs w:val="32"/>
        </w:rPr>
        <w:t>履約保證金扣抵。</w:t>
      </w:r>
    </w:p>
    <w:p>
      <w:pPr>
        <w:pStyle w:val="ListParagraph"/>
        <w:numPr>
          <w:ilvl w:val="0"/>
          <w:numId w:val="24"/>
        </w:numPr>
        <w:snapToGrid w:val="false"/>
        <w:spacing w:lineRule="exact" w:line="400"/>
        <w:jc w:val="both"/>
        <w:rPr>
          <w:rFonts w:ascii="標楷體" w:hAnsi="標楷體" w:eastAsia="標楷體" w:cs="Times New Roman"/>
          <w:color w:val="000000" w:themeColor="text1"/>
          <w:sz w:val="28"/>
          <w:szCs w:val="28"/>
        </w:rPr>
      </w:pPr>
      <w:r>
        <w:rPr>
          <w:rFonts w:ascii="標楷體" w:hAnsi="標楷體" w:eastAsia="標楷體"/>
          <w:bCs/>
          <w:color w:val="000000" w:themeColor="text1"/>
          <w:sz w:val="28"/>
          <w:szCs w:val="28"/>
        </w:rPr>
        <w:t>於租期屆滿或甲方終止租約</w:t>
      </w:r>
      <w:r>
        <w:rPr>
          <w:rFonts w:ascii="標楷體" w:hAnsi="標楷體" w:eastAsia="標楷體"/>
          <w:color w:val="000000" w:themeColor="text1"/>
          <w:sz w:val="28"/>
          <w:szCs w:val="28"/>
        </w:rPr>
        <w:t>收回全部租賃土地時，乙方應繳清年租金、違約金、補償金、損害賠償等費用。</w:t>
      </w:r>
    </w:p>
    <w:p>
      <w:pPr>
        <w:pStyle w:val="Normal"/>
        <w:numPr>
          <w:ilvl w:val="0"/>
          <w:numId w:val="1"/>
        </w:numPr>
        <w:tabs>
          <w:tab w:val="clear" w:pos="480"/>
          <w:tab w:val="left" w:pos="1276" w:leader="none"/>
        </w:tabs>
        <w:spacing w:lineRule="exact" w:line="460"/>
        <w:ind w:left="1276" w:hanging="1276"/>
        <w:jc w:val="both"/>
        <w:rPr>
          <w:rFonts w:ascii="標楷體" w:hAnsi="標楷體" w:eastAsia="標楷體" w:cs="Times New Roman"/>
          <w:color w:val="000000" w:themeColor="text1"/>
          <w:w w:val="101"/>
          <w:kern w:val="0"/>
          <w:sz w:val="28"/>
          <w:szCs w:val="28"/>
        </w:rPr>
      </w:pPr>
      <w:r>
        <w:rPr/>
        <w:t xml:space="preserve"> </w:t>
      </w:r>
      <w:r>
        <w:rPr>
          <w:rFonts w:ascii="標楷體" w:hAnsi="標楷體" w:cs="Times New Roman" w:eastAsia="標楷體"/>
          <w:color w:val="000000" w:themeColor="text1"/>
          <w:w w:val="101"/>
          <w:kern w:val="0"/>
          <w:sz w:val="28"/>
          <w:szCs w:val="28"/>
        </w:rPr>
        <w:t>乙方不得主張土地法第一百零四條之優先購買權及設定地上權，並不得以本租約作為設定抵押擔保或其他類似使用。</w:t>
      </w:r>
    </w:p>
    <w:p>
      <w:pPr>
        <w:pStyle w:val="Normal"/>
        <w:numPr>
          <w:ilvl w:val="0"/>
          <w:numId w:val="1"/>
        </w:numPr>
        <w:tabs>
          <w:tab w:val="clear" w:pos="480"/>
          <w:tab w:val="left" w:pos="1276" w:leader="none"/>
        </w:tabs>
        <w:snapToGrid w:val="false"/>
        <w:spacing w:lineRule="exact" w:line="400"/>
        <w:ind w:left="1285" w:hanging="1276"/>
        <w:jc w:val="both"/>
        <w:rPr>
          <w:rFonts w:ascii="標楷體" w:hAnsi="標楷體" w:eastAsia="標楷體" w:cs="Times New Roman"/>
          <w:color w:val="000000" w:themeColor="text1"/>
          <w:sz w:val="28"/>
          <w:szCs w:val="28"/>
        </w:rPr>
      </w:pPr>
      <w:r>
        <w:rPr/>
        <w:t xml:space="preserve"> </w:t>
      </w:r>
      <w:r>
        <w:rPr>
          <w:rFonts w:ascii="標楷體" w:hAnsi="標楷體" w:cs="Times New Roman" w:eastAsia="標楷體"/>
          <w:color w:val="000000" w:themeColor="text1"/>
          <w:w w:val="101"/>
          <w:kern w:val="0"/>
          <w:sz w:val="28"/>
          <w:szCs w:val="28"/>
        </w:rPr>
        <w:t>本租約</w:t>
      </w:r>
      <w:r>
        <w:rPr>
          <w:rFonts w:ascii="標楷體" w:hAnsi="標楷體" w:eastAsia="標楷體"/>
          <w:color w:val="000000" w:themeColor="text1"/>
          <w:sz w:val="28"/>
          <w:szCs w:val="28"/>
        </w:rPr>
        <w:t>應依法公證，並於</w:t>
      </w:r>
      <w:r>
        <w:rPr>
          <w:rFonts w:ascii="標楷體" w:hAnsi="標楷體" w:eastAsia="標楷體"/>
          <w:bCs/>
          <w:color w:val="000000" w:themeColor="text1"/>
          <w:sz w:val="28"/>
          <w:szCs w:val="28"/>
        </w:rPr>
        <w:t>公證書載明乙方應依約定繳交年租金、補償金、</w:t>
      </w:r>
      <w:r>
        <w:rPr>
          <w:rFonts w:ascii="標楷體" w:hAnsi="標楷體" w:eastAsia="標楷體"/>
          <w:color w:val="000000" w:themeColor="text1"/>
          <w:sz w:val="28"/>
          <w:szCs w:val="28"/>
        </w:rPr>
        <w:t>違約金及其他應繳費用</w:t>
      </w:r>
      <w:r>
        <w:rPr>
          <w:rFonts w:ascii="標楷體" w:hAnsi="標楷體" w:eastAsia="標楷體"/>
          <w:bCs/>
          <w:color w:val="000000" w:themeColor="text1"/>
          <w:sz w:val="28"/>
          <w:szCs w:val="28"/>
        </w:rPr>
        <w:t>，如不履行，應逕受強制執行。</w:t>
      </w:r>
      <w:r>
        <w:rPr>
          <w:rFonts w:ascii="標楷體" w:hAnsi="標楷體" w:eastAsia="標楷體"/>
          <w:color w:val="000000" w:themeColor="text1"/>
          <w:sz w:val="28"/>
          <w:szCs w:val="28"/>
        </w:rPr>
        <w:t>公證後涉有需變更事項者，甲方應記載於「變更記事」後，再洽公證人辦理補充或更正公證。</w:t>
      </w:r>
      <w:r>
        <w:rPr>
          <w:rFonts w:ascii="標楷體" w:hAnsi="標楷體" w:eastAsia="標楷體"/>
          <w:bCs/>
          <w:color w:val="000000" w:themeColor="text1"/>
          <w:sz w:val="28"/>
          <w:szCs w:val="28"/>
        </w:rPr>
        <w:t>公證費用由乙方負擔。</w:t>
      </w:r>
    </w:p>
    <w:p>
      <w:pPr>
        <w:pStyle w:val="Normal"/>
        <w:numPr>
          <w:ilvl w:val="0"/>
          <w:numId w:val="1"/>
        </w:numPr>
        <w:tabs>
          <w:tab w:val="clear" w:pos="480"/>
          <w:tab w:val="left" w:pos="1276" w:leader="none"/>
        </w:tabs>
        <w:spacing w:lineRule="exact" w:line="460"/>
        <w:ind w:left="1302" w:hanging="1302"/>
        <w:jc w:val="both"/>
        <w:rPr>
          <w:rFonts w:ascii="標楷體" w:hAnsi="標楷體" w:eastAsia="標楷體" w:cs="Times New Roman"/>
          <w:color w:val="000000" w:themeColor="text1"/>
          <w:sz w:val="28"/>
          <w:szCs w:val="28"/>
        </w:rPr>
      </w:pPr>
      <w:r>
        <w:rPr/>
        <w:t xml:space="preserve"> </w:t>
      </w:r>
      <w:r>
        <w:rPr>
          <w:rFonts w:ascii="標楷體" w:hAnsi="標楷體" w:cs="Times New Roman" w:eastAsia="標楷體"/>
          <w:color w:val="000000" w:themeColor="text1"/>
          <w:w w:val="101"/>
          <w:kern w:val="0"/>
          <w:sz w:val="28"/>
          <w:szCs w:val="28"/>
        </w:rPr>
        <w:t>因本租約之履行而涉訟時，以臺灣</w:t>
      </w:r>
      <w:r>
        <w:rPr>
          <w:rFonts w:ascii="標楷體" w:hAnsi="標楷體" w:cs="Times New Roman" w:eastAsia="標楷體"/>
          <w:color w:val="000000" w:themeColor="text1"/>
          <w:w w:val="101"/>
          <w:kern w:val="0"/>
          <w:sz w:val="28"/>
          <w:szCs w:val="28"/>
          <w:highlight w:val="yellow"/>
        </w:rPr>
        <w:t>○○</w:t>
      </w:r>
      <w:r>
        <w:rPr>
          <w:rFonts w:ascii="標楷體" w:hAnsi="標楷體" w:cs="Times New Roman" w:eastAsia="標楷體"/>
          <w:color w:val="000000" w:themeColor="text1"/>
          <w:sz w:val="28"/>
          <w:szCs w:val="28"/>
        </w:rPr>
        <w:t>地方法院</w:t>
      </w:r>
      <w:r>
        <w:rPr>
          <w:rFonts w:ascii="標楷體" w:hAnsi="標楷體" w:eastAsia="標楷體"/>
          <w:color w:val="000000" w:themeColor="text1"/>
          <w:sz w:val="28"/>
          <w:szCs w:val="28"/>
        </w:rPr>
        <w:t>為第一審管轄法   院。</w:t>
      </w:r>
    </w:p>
    <w:p>
      <w:pPr>
        <w:pStyle w:val="Normal"/>
        <w:numPr>
          <w:ilvl w:val="0"/>
          <w:numId w:val="1"/>
        </w:numPr>
        <w:tabs>
          <w:tab w:val="clear" w:pos="480"/>
          <w:tab w:val="left" w:pos="1276" w:leader="none"/>
        </w:tabs>
        <w:spacing w:lineRule="exact" w:line="460"/>
        <w:ind w:left="1276" w:hanging="1276"/>
        <w:jc w:val="both"/>
        <w:rPr>
          <w:rFonts w:ascii="標楷體" w:hAnsi="標楷體" w:eastAsia="標楷體" w:cs="Times New Roman"/>
          <w:color w:val="000000" w:themeColor="text1"/>
          <w:w w:val="101"/>
          <w:kern w:val="0"/>
          <w:sz w:val="28"/>
          <w:szCs w:val="28"/>
        </w:rPr>
      </w:pPr>
      <w:r>
        <w:rPr/>
        <w:t xml:space="preserve"> </w:t>
      </w:r>
      <w:r>
        <w:rPr>
          <w:rFonts w:ascii="標楷體" w:hAnsi="標楷體" w:cs="Times New Roman" w:eastAsia="標楷體"/>
          <w:color w:val="000000" w:themeColor="text1"/>
          <w:w w:val="101"/>
          <w:kern w:val="0"/>
          <w:sz w:val="28"/>
          <w:szCs w:val="28"/>
        </w:rPr>
        <w:t>送達地址：</w:t>
      </w:r>
    </w:p>
    <w:p>
      <w:pPr>
        <w:pStyle w:val="ListParagraph"/>
        <w:numPr>
          <w:ilvl w:val="0"/>
          <w:numId w:val="10"/>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本租約所為任何意思表示之送達均悉以本租約書所載之地址為準，乙方如有遷移或改變者</w:t>
      </w:r>
      <w:r>
        <w:rPr>
          <w:rFonts w:ascii="標楷體" w:hAnsi="標楷體" w:eastAsia="標楷體"/>
          <w:color w:val="000000" w:themeColor="text1"/>
          <w:sz w:val="28"/>
          <w:szCs w:val="32"/>
        </w:rPr>
        <w:t>，應以掛號郵件通知甲方</w:t>
      </w:r>
      <w:r>
        <w:rPr>
          <w:rFonts w:ascii="標楷體" w:hAnsi="標楷體" w:cs="Times New Roman" w:eastAsia="標楷體"/>
          <w:color w:val="000000" w:themeColor="text1"/>
          <w:kern w:val="0"/>
          <w:sz w:val="28"/>
          <w:szCs w:val="28"/>
        </w:rPr>
        <w:t>，否則如有拒收或無法送達之情形而致退回者，悉按第一次附郵寄送通知之日期，視為已合法送達。</w:t>
      </w:r>
    </w:p>
    <w:p>
      <w:pPr>
        <w:pStyle w:val="ListParagraph"/>
        <w:numPr>
          <w:ilvl w:val="0"/>
          <w:numId w:val="10"/>
        </w:numPr>
        <w:snapToGrid w:val="false"/>
        <w:spacing w:lineRule="exact" w:line="400"/>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乙方通知甲方</w:t>
      </w:r>
      <w:r>
        <w:rPr>
          <w:rFonts w:ascii="標楷體" w:hAnsi="標楷體" w:eastAsia="標楷體"/>
          <w:color w:val="000000" w:themeColor="text1"/>
          <w:sz w:val="28"/>
          <w:szCs w:val="28"/>
        </w:rPr>
        <w:t>因住址等資料有變更時，由甲方記載於「變更記事」。</w:t>
      </w:r>
      <w:r>
        <w:rPr>
          <w:rFonts w:ascii="標楷體" w:hAnsi="標楷體" w:cs="Times New Roman" w:eastAsia="標楷體"/>
          <w:color w:val="000000" w:themeColor="text1"/>
          <w:sz w:val="28"/>
          <w:szCs w:val="28"/>
        </w:rPr>
        <w:t xml:space="preserve">                                                                                                                                                                                                                                        </w:t>
      </w:r>
    </w:p>
    <w:p>
      <w:pPr>
        <w:pStyle w:val="Normal"/>
        <w:numPr>
          <w:ilvl w:val="0"/>
          <w:numId w:val="1"/>
        </w:numPr>
        <w:tabs>
          <w:tab w:val="clear" w:pos="480"/>
          <w:tab w:val="left" w:pos="1276" w:leader="none"/>
        </w:tabs>
        <w:spacing w:lineRule="exact" w:line="460"/>
        <w:ind w:left="1276" w:hanging="1276"/>
        <w:jc w:val="both"/>
        <w:rPr>
          <w:rFonts w:ascii="標楷體" w:hAnsi="標楷體" w:eastAsia="標楷體" w:cs="Times New Roman"/>
          <w:color w:val="000000" w:themeColor="text1"/>
          <w:w w:val="101"/>
          <w:kern w:val="0"/>
          <w:sz w:val="28"/>
          <w:szCs w:val="28"/>
        </w:rPr>
      </w:pPr>
      <w:r>
        <w:rPr/>
        <w:t xml:space="preserve"> </w:t>
      </w:r>
      <w:r>
        <w:rPr>
          <w:rFonts w:ascii="標楷體" w:hAnsi="標楷體" w:cs="Times New Roman" w:eastAsia="標楷體"/>
          <w:color w:val="000000" w:themeColor="text1"/>
          <w:sz w:val="28"/>
          <w:szCs w:val="28"/>
        </w:rPr>
        <w:t>甲方得定期或不定期派員至本租賃土地之太陽光電發電設備設置地點巡查，乙方不得規避、妨礙或拒絕。</w:t>
      </w:r>
    </w:p>
    <w:p>
      <w:pPr>
        <w:pStyle w:val="Normal"/>
        <w:numPr>
          <w:ilvl w:val="0"/>
          <w:numId w:val="1"/>
        </w:numPr>
        <w:tabs>
          <w:tab w:val="clear" w:pos="480"/>
          <w:tab w:val="left" w:pos="1276" w:leader="none"/>
        </w:tabs>
        <w:spacing w:lineRule="exact" w:line="460"/>
        <w:ind w:left="1276" w:hanging="1276"/>
        <w:jc w:val="both"/>
        <w:rPr>
          <w:rFonts w:ascii="標楷體" w:hAnsi="標楷體" w:eastAsia="標楷體" w:cs="Times New Roman"/>
          <w:color w:val="000000" w:themeColor="text1"/>
          <w:w w:val="101"/>
          <w:kern w:val="0"/>
          <w:sz w:val="28"/>
          <w:szCs w:val="28"/>
        </w:rPr>
      </w:pPr>
      <w:r>
        <w:rPr/>
        <w:t xml:space="preserve"> </w:t>
      </w:r>
      <w:r>
        <w:rPr>
          <w:rFonts w:ascii="標楷體" w:hAnsi="標楷體" w:cs="Times New Roman" w:eastAsia="標楷體"/>
          <w:color w:val="000000" w:themeColor="text1"/>
          <w:w w:val="101"/>
          <w:kern w:val="0"/>
          <w:sz w:val="28"/>
          <w:szCs w:val="28"/>
        </w:rPr>
        <w:t>其他：</w:t>
      </w:r>
    </w:p>
    <w:p>
      <w:pPr>
        <w:pStyle w:val="ListParagraph"/>
        <w:numPr>
          <w:ilvl w:val="0"/>
          <w:numId w:val="11"/>
        </w:numPr>
        <w:snapToGrid w:val="false"/>
        <w:spacing w:lineRule="exact" w:line="400"/>
        <w:jc w:val="both"/>
        <w:rPr>
          <w:rFonts w:ascii="標楷體" w:hAnsi="標楷體" w:eastAsia="標楷體" w:cs="Times New Roman"/>
          <w:color w:val="000000" w:themeColor="text1"/>
          <w:sz w:val="28"/>
          <w:szCs w:val="28"/>
        </w:rPr>
      </w:pPr>
      <w:r>
        <w:rPr>
          <w:rFonts w:ascii="標楷體" w:hAnsi="標楷體" w:eastAsia="標楷體"/>
          <w:color w:val="000000" w:themeColor="text1"/>
          <w:sz w:val="28"/>
          <w:szCs w:val="28"/>
        </w:rPr>
        <w:t>租賃土地標租公告、投標須知及標租租約書（格式），為本租約附件，屬租約內容。</w:t>
      </w:r>
    </w:p>
    <w:p>
      <w:pPr>
        <w:pStyle w:val="ListParagraph"/>
        <w:numPr>
          <w:ilvl w:val="0"/>
          <w:numId w:val="11"/>
        </w:numPr>
        <w:snapToGrid w:val="false"/>
        <w:spacing w:lineRule="exact" w:line="400"/>
        <w:jc w:val="both"/>
        <w:rPr>
          <w:rFonts w:ascii="標楷體" w:hAnsi="標楷體" w:eastAsia="標楷體" w:cs="Times New Roman"/>
          <w:color w:val="000000" w:themeColor="text1"/>
          <w:sz w:val="28"/>
          <w:szCs w:val="28"/>
        </w:rPr>
      </w:pPr>
      <w:r>
        <w:rPr>
          <w:rFonts w:ascii="標楷體" w:hAnsi="標楷體" w:eastAsia="標楷體"/>
          <w:color w:val="000000" w:themeColor="text1"/>
          <w:sz w:val="28"/>
          <w:szCs w:val="28"/>
        </w:rPr>
        <w:t>租賃土地如遭主管機關列為土壤及地下水污染管制範圍，乙方應自租賃土地受管制之日起每年主動自費辦理租賃土地土壤及地下水污染檢測作業，並比照土壤及地下水污染整治法施行細則規定之項目製作檢測資料二份，一份送甲方備考，一份報請直轄市、縣（市）主管機關備查，及於甲方所訂期限內改善污染情形至主管機關解除管制。</w:t>
      </w:r>
    </w:p>
    <w:p>
      <w:pPr>
        <w:pStyle w:val="Normal"/>
        <w:numPr>
          <w:ilvl w:val="0"/>
          <w:numId w:val="1"/>
        </w:numPr>
        <w:spacing w:lineRule="exact" w:line="460"/>
        <w:ind w:left="1559" w:hanging="1559"/>
        <w:jc w:val="both"/>
        <w:rPr>
          <w:rFonts w:ascii="標楷體" w:hAnsi="標楷體" w:eastAsia="標楷體" w:cs="Times New Roman"/>
          <w:color w:val="000000" w:themeColor="text1"/>
          <w:kern w:val="0"/>
          <w:sz w:val="28"/>
          <w:szCs w:val="28"/>
        </w:rPr>
      </w:pPr>
      <w:r>
        <w:rPr>
          <w:rFonts w:ascii="標楷體" w:hAnsi="標楷體" w:cs="Times New Roman" w:eastAsia="標楷體"/>
          <w:color w:val="000000" w:themeColor="text1"/>
          <w:kern w:val="0"/>
          <w:sz w:val="28"/>
          <w:szCs w:val="28"/>
        </w:rPr>
        <w:t>本租約</w:t>
      </w:r>
      <w:r>
        <w:rPr>
          <w:rFonts w:ascii="標楷體" w:hAnsi="標楷體" w:eastAsia="標楷體"/>
          <w:color w:val="000000" w:themeColor="text1"/>
          <w:sz w:val="28"/>
          <w:szCs w:val="28"/>
        </w:rPr>
        <w:t>乙式三份，由法院公證處（或民間公證人）、甲方與乙方各執一份。</w:t>
      </w:r>
    </w:p>
    <w:p>
      <w:pPr>
        <w:sectPr>
          <w:footerReference w:type="default" r:id="rId2"/>
          <w:type w:val="nextPage"/>
          <w:pgSz w:w="11906" w:h="16838"/>
          <w:pgMar w:left="1230" w:right="1055" w:gutter="0" w:header="0" w:top="1106" w:footer="992" w:bottom="1049"/>
          <w:pgNumType w:fmt="decimal"/>
          <w:formProt w:val="false"/>
          <w:textDirection w:val="lrTb"/>
          <w:docGrid w:type="lines" w:linePitch="360" w:charSpace="0"/>
        </w:sectPr>
        <w:pStyle w:val="Normal"/>
        <w:numPr>
          <w:ilvl w:val="0"/>
          <w:numId w:val="1"/>
        </w:numPr>
        <w:spacing w:lineRule="exact" w:line="460"/>
        <w:ind w:left="1560" w:hanging="1560"/>
        <w:jc w:val="both"/>
        <w:rPr>
          <w:rFonts w:ascii="標楷體" w:hAnsi="標楷體" w:eastAsia="標楷體"/>
          <w:color w:val="000000" w:themeColor="text1"/>
          <w:sz w:val="28"/>
          <w:szCs w:val="28"/>
        </w:rPr>
      </w:pPr>
      <w:r>
        <w:rPr>
          <w:rFonts w:ascii="標楷體" w:hAnsi="標楷體" w:cs="Times New Roman" w:eastAsia="標楷體"/>
          <w:color w:val="000000" w:themeColor="text1"/>
          <w:w w:val="101"/>
          <w:kern w:val="0"/>
          <w:sz w:val="28"/>
          <w:szCs w:val="28"/>
        </w:rPr>
        <w:t>本租約</w:t>
      </w:r>
      <w:r>
        <w:rPr>
          <w:rFonts w:ascii="標楷體" w:hAnsi="標楷體" w:eastAsia="標楷體"/>
          <w:color w:val="000000" w:themeColor="text1"/>
          <w:sz w:val="28"/>
          <w:szCs w:val="28"/>
        </w:rPr>
        <w:t>如有未盡事宜，悉依民法、國有財產法及其施行細則、國有非公用不動產出租管理辦法等相關規定辦理。</w:t>
      </w:r>
    </w:p>
    <w:p>
      <w:pPr>
        <w:pStyle w:val="Normal"/>
        <w:spacing w:lineRule="exact" w:line="380"/>
        <w:rPr>
          <w:rFonts w:ascii="標楷體" w:hAnsi="標楷體" w:eastAsia="標楷體"/>
        </w:rPr>
      </w:pPr>
      <w:r>
        <w:rPr>
          <w:rFonts w:ascii="標楷體" w:hAnsi="標楷體" w:eastAsia="標楷體"/>
        </w:rPr>
        <w:t xml:space="preserve">※ </w:t>
      </w:r>
      <w:r>
        <w:rPr>
          <w:rFonts w:ascii="標楷體" w:hAnsi="標楷體" w:eastAsia="標楷體"/>
        </w:rPr>
        <w:t>變更記事 ※（由甲方填寫）</w:t>
      </w:r>
    </w:p>
    <w:tbl>
      <w:tblPr>
        <w:tblStyle w:val="af0"/>
        <w:tblW w:w="9632"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1125"/>
        <w:gridCol w:w="1427"/>
        <w:gridCol w:w="4597"/>
        <w:gridCol w:w="2482"/>
      </w:tblGrid>
      <w:tr>
        <w:trPr/>
        <w:tc>
          <w:tcPr>
            <w:tcW w:w="1125" w:type="dxa"/>
            <w:tcBorders/>
          </w:tcPr>
          <w:p>
            <w:pPr>
              <w:pStyle w:val="Normal"/>
              <w:widowControl w:val="false"/>
              <w:suppressAutoHyphens w:val="true"/>
              <w:spacing w:lineRule="exact" w:line="460" w:before="0" w:after="0"/>
              <w:ind w:right="-142" w:hanging="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lang w:val="en-US" w:eastAsia="zh-TW" w:bidi="ar-SA"/>
              </w:rPr>
              <w:t>項   次</w:t>
            </w:r>
          </w:p>
        </w:tc>
        <w:tc>
          <w:tcPr>
            <w:tcW w:w="1427"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lang w:val="en-US" w:eastAsia="zh-TW" w:bidi="ar-SA"/>
              </w:rPr>
              <w:t>日    期</w:t>
            </w:r>
          </w:p>
        </w:tc>
        <w:tc>
          <w:tcPr>
            <w:tcW w:w="4597"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lang w:val="en-US" w:eastAsia="zh-TW" w:bidi="ar-SA"/>
              </w:rPr>
              <w:t>內                          容</w:t>
            </w:r>
          </w:p>
        </w:tc>
        <w:tc>
          <w:tcPr>
            <w:tcW w:w="2482"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ascii="標楷體" w:hAnsi="標楷體" w:cs="Times New Roman" w:eastAsia="標楷體"/>
                <w:w w:val="101"/>
                <w:kern w:val="0"/>
                <w:sz w:val="28"/>
                <w:szCs w:val="28"/>
                <w:lang w:val="en-US" w:eastAsia="zh-TW" w:bidi="ar-SA"/>
              </w:rPr>
              <w:t>記事專用章</w:t>
            </w:r>
          </w:p>
        </w:tc>
      </w:tr>
      <w:tr>
        <w:trPr/>
        <w:tc>
          <w:tcPr>
            <w:tcW w:w="1125"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eastAsia="標楷體" w:cs="Times New Roman" w:ascii="標楷體" w:hAnsi="標楷體"/>
                <w:w w:val="101"/>
                <w:kern w:val="0"/>
                <w:sz w:val="24"/>
                <w:szCs w:val="28"/>
              </w:rPr>
            </w:r>
          </w:p>
        </w:tc>
        <w:tc>
          <w:tcPr>
            <w:tcW w:w="1427"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eastAsia="標楷體" w:cs="Times New Roman" w:ascii="標楷體" w:hAnsi="標楷體"/>
                <w:w w:val="101"/>
                <w:kern w:val="0"/>
                <w:sz w:val="24"/>
                <w:szCs w:val="28"/>
              </w:rPr>
            </w:r>
          </w:p>
        </w:tc>
        <w:tc>
          <w:tcPr>
            <w:tcW w:w="4597"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eastAsia="標楷體" w:cs="Times New Roman" w:ascii="標楷體" w:hAnsi="標楷體"/>
                <w:w w:val="101"/>
                <w:kern w:val="0"/>
                <w:sz w:val="24"/>
                <w:szCs w:val="28"/>
              </w:rPr>
            </w:r>
          </w:p>
        </w:tc>
        <w:tc>
          <w:tcPr>
            <w:tcW w:w="2482" w:type="dxa"/>
            <w:tcBorders/>
          </w:tcPr>
          <w:p>
            <w:pPr>
              <w:pStyle w:val="Normal"/>
              <w:widowControl w:val="false"/>
              <w:suppressAutoHyphens w:val="true"/>
              <w:spacing w:lineRule="exact" w:line="460" w:before="0" w:after="0"/>
              <w:jc w:val="both"/>
              <w:rPr>
                <w:rFonts w:ascii="標楷體" w:hAnsi="標楷體" w:eastAsia="標楷體" w:cs="Times New Roman"/>
                <w:w w:val="101"/>
                <w:kern w:val="0"/>
                <w:sz w:val="28"/>
                <w:szCs w:val="28"/>
              </w:rPr>
            </w:pPr>
            <w:r>
              <w:rPr>
                <w:rFonts w:eastAsia="標楷體" w:cs="Times New Roman" w:ascii="標楷體" w:hAnsi="標楷體"/>
                <w:w w:val="101"/>
                <w:kern w:val="0"/>
                <w:sz w:val="24"/>
                <w:szCs w:val="28"/>
              </w:rPr>
            </w:r>
          </w:p>
        </w:tc>
      </w:tr>
    </w:tbl>
    <w:p>
      <w:pPr>
        <w:pStyle w:val="Normal"/>
        <w:snapToGrid w:val="false"/>
        <w:spacing w:lineRule="auto" w:line="360"/>
        <w:ind w:left="1338" w:hanging="1189"/>
        <w:jc w:val="both"/>
        <w:rPr>
          <w:rFonts w:ascii="標楷體" w:hAnsi="標楷體" w:eastAsia="標楷體" w:cs="Times New Roman"/>
          <w:b/>
          <w:b/>
          <w:bCs/>
          <w:kern w:val="0"/>
          <w:sz w:val="40"/>
          <w:szCs w:val="40"/>
        </w:rPr>
      </w:pPr>
      <w:r>
        <w:rPr>
          <w:rFonts w:eastAsia="標楷體" w:cs="Times New Roman" w:ascii="標楷體" w:hAnsi="標楷體"/>
          <w:b/>
          <w:bCs/>
          <w:kern w:val="0"/>
          <w:sz w:val="40"/>
          <w:szCs w:val="40"/>
        </w:rPr>
      </w:r>
    </w:p>
    <w:p>
      <w:pPr>
        <w:pStyle w:val="Normal"/>
        <w:widowControl/>
        <w:rPr>
          <w:rFonts w:ascii="標楷體" w:hAnsi="標楷體" w:eastAsia="標楷體" w:cs="Times New Roman"/>
          <w:b/>
          <w:b/>
          <w:bCs/>
          <w:kern w:val="0"/>
          <w:sz w:val="40"/>
          <w:szCs w:val="40"/>
        </w:rPr>
      </w:pPr>
      <w:r>
        <w:rPr>
          <w:rFonts w:eastAsia="標楷體" w:cs="Times New Roman" w:ascii="標楷體" w:hAnsi="標楷體"/>
          <w:b/>
          <w:bCs/>
          <w:kern w:val="0"/>
          <w:sz w:val="40"/>
          <w:szCs w:val="40"/>
        </w:rPr>
      </w:r>
      <w:r>
        <w:br w:type="page"/>
      </w:r>
    </w:p>
    <w:p>
      <w:pPr>
        <w:pStyle w:val="Normal"/>
        <w:snapToGrid w:val="false"/>
        <w:spacing w:lineRule="auto" w:line="360"/>
        <w:ind w:left="1338" w:hanging="1189"/>
        <w:jc w:val="both"/>
        <w:rPr>
          <w:rFonts w:ascii="標楷體" w:hAnsi="標楷體" w:eastAsia="標楷體" w:cs="Times New Roman"/>
          <w:b/>
          <w:b/>
          <w:bCs/>
          <w:kern w:val="0"/>
          <w:sz w:val="40"/>
          <w:szCs w:val="40"/>
        </w:rPr>
      </w:pPr>
      <w:r>
        <w:rPr>
          <w:rFonts w:ascii="標楷體" w:hAnsi="標楷體" w:cs="Times New Roman" w:eastAsia="標楷體"/>
          <w:b/>
          <w:bCs/>
          <w:kern w:val="0"/>
          <w:sz w:val="40"/>
          <w:szCs w:val="40"/>
        </w:rPr>
        <w:t>立契約書人</w:t>
      </w:r>
    </w:p>
    <w:p>
      <w:pPr>
        <w:pStyle w:val="Normal"/>
        <w:snapToGrid w:val="false"/>
        <w:ind w:left="1440" w:hanging="90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甲 方</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標租機關：財政部國有財產署○區分署</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法定代理人：○○○</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地    址：</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電    話：</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eastAsia="標楷體" w:cs="Times New Roman" w:ascii="標楷體" w:hAnsi="標楷體"/>
          <w:b/>
          <w:bCs/>
          <w:kern w:val="0"/>
          <w:sz w:val="32"/>
          <w:szCs w:val="32"/>
        </w:rPr>
      </w:r>
    </w:p>
    <w:p>
      <w:pPr>
        <w:pStyle w:val="Normal"/>
        <w:snapToGrid w:val="false"/>
        <w:ind w:left="1437" w:hanging="897"/>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乙 方</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承租廠商：</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w w:val="93"/>
          <w:kern w:val="0"/>
          <w:sz w:val="32"/>
          <w:szCs w:val="32"/>
        </w:rPr>
        <w:t>統一編號</w:t>
      </w:r>
      <w:r>
        <w:rPr>
          <w:rFonts w:ascii="標楷體" w:hAnsi="標楷體" w:cs="Times New Roman" w:eastAsia="標楷體"/>
          <w:b/>
          <w:bCs/>
          <w:kern w:val="0"/>
          <w:sz w:val="32"/>
          <w:szCs w:val="32"/>
        </w:rPr>
        <w:t>：</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負責人（法定代理人）：</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身分證字號：</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地</w:t>
      </w:r>
      <w:r>
        <w:rPr>
          <w:rFonts w:eastAsia="標楷體" w:cs="Times New Roman" w:ascii="標楷體" w:hAnsi="標楷體"/>
          <w:b/>
          <w:bCs/>
          <w:kern w:val="0"/>
          <w:sz w:val="32"/>
          <w:szCs w:val="32"/>
        </w:rPr>
        <w:tab/>
        <w:tab/>
      </w:r>
      <w:r>
        <w:rPr>
          <w:rFonts w:ascii="標楷體" w:hAnsi="標楷體" w:cs="Times New Roman" w:eastAsia="標楷體"/>
          <w:b/>
          <w:bCs/>
          <w:kern w:val="0"/>
          <w:sz w:val="32"/>
          <w:szCs w:val="32"/>
        </w:rPr>
        <w:t>址：</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電</w:t>
      </w:r>
      <w:r>
        <w:rPr>
          <w:rFonts w:eastAsia="標楷體" w:cs="Times New Roman" w:ascii="標楷體" w:hAnsi="標楷體"/>
          <w:b/>
          <w:bCs/>
          <w:kern w:val="0"/>
          <w:sz w:val="32"/>
          <w:szCs w:val="32"/>
        </w:rPr>
        <w:tab/>
        <w:tab/>
      </w:r>
      <w:r>
        <w:rPr>
          <w:rFonts w:ascii="標楷體" w:hAnsi="標楷體" w:cs="Times New Roman" w:eastAsia="標楷體"/>
          <w:b/>
          <w:bCs/>
          <w:kern w:val="0"/>
          <w:sz w:val="32"/>
          <w:szCs w:val="32"/>
        </w:rPr>
        <w:t>話：</w:t>
      </w:r>
    </w:p>
    <w:p>
      <w:pPr>
        <w:pStyle w:val="Normal"/>
        <w:snapToGrid w:val="false"/>
        <w:spacing w:lineRule="auto" w:line="360"/>
        <w:ind w:left="1440" w:hanging="0"/>
        <w:jc w:val="both"/>
        <w:rPr>
          <w:rFonts w:ascii="標楷體" w:hAnsi="標楷體" w:eastAsia="標楷體" w:cs="Times New Roman"/>
          <w:b/>
          <w:b/>
          <w:bCs/>
          <w:kern w:val="0"/>
          <w:sz w:val="32"/>
          <w:szCs w:val="32"/>
        </w:rPr>
      </w:pPr>
      <w:r>
        <w:rPr>
          <w:rFonts w:eastAsia="標楷體" w:cs="Times New Roman" w:ascii="標楷體" w:hAnsi="標楷體"/>
          <w:b/>
          <w:bCs/>
          <w:kern w:val="0"/>
          <w:sz w:val="32"/>
          <w:szCs w:val="32"/>
        </w:rPr>
      </w:r>
    </w:p>
    <w:p>
      <w:pPr>
        <w:pStyle w:val="Normal"/>
        <w:spacing w:lineRule="exact" w:line="460"/>
        <w:jc w:val="both"/>
        <w:rPr>
          <w:rFonts w:ascii="標楷體" w:hAnsi="標楷體" w:eastAsia="標楷體" w:cs="Times New Roman"/>
          <w:b/>
          <w:b/>
          <w:bCs/>
          <w:kern w:val="0"/>
          <w:sz w:val="32"/>
          <w:szCs w:val="32"/>
        </w:rPr>
      </w:pPr>
      <w:r>
        <w:rPr>
          <w:rFonts w:eastAsia="標楷體" w:cs="Times New Roman" w:ascii="標楷體" w:hAnsi="標楷體"/>
          <w:b/>
          <w:bCs/>
          <w:kern w:val="0"/>
          <w:sz w:val="32"/>
          <w:szCs w:val="32"/>
        </w:rPr>
      </w:r>
    </w:p>
    <w:p>
      <w:pPr>
        <w:pStyle w:val="Normal"/>
        <w:spacing w:lineRule="exact" w:line="460"/>
        <w:jc w:val="both"/>
        <w:rPr>
          <w:rFonts w:ascii="標楷體" w:hAnsi="標楷體" w:eastAsia="標楷體" w:cs="Times New Roman"/>
          <w:b/>
          <w:b/>
          <w:bCs/>
          <w:kern w:val="0"/>
          <w:sz w:val="32"/>
          <w:szCs w:val="32"/>
        </w:rPr>
      </w:pPr>
      <w:r>
        <w:rPr>
          <w:rFonts w:eastAsia="標楷體" w:cs="Times New Roman" w:ascii="標楷體" w:hAnsi="標楷體"/>
          <w:b/>
          <w:bCs/>
          <w:kern w:val="0"/>
          <w:sz w:val="32"/>
          <w:szCs w:val="32"/>
        </w:rPr>
      </w:r>
    </w:p>
    <w:p>
      <w:pPr>
        <w:pStyle w:val="Normal"/>
        <w:spacing w:lineRule="exact" w:line="460"/>
        <w:jc w:val="both"/>
        <w:rPr>
          <w:rFonts w:ascii="標楷體" w:hAnsi="標楷體" w:eastAsia="標楷體" w:cs="Times New Roman"/>
          <w:b/>
          <w:b/>
          <w:bCs/>
          <w:kern w:val="0"/>
          <w:sz w:val="32"/>
          <w:szCs w:val="32"/>
        </w:rPr>
      </w:pPr>
      <w:r>
        <w:rPr>
          <w:rFonts w:ascii="標楷體" w:hAnsi="標楷體" w:cs="Times New Roman" w:eastAsia="標楷體"/>
          <w:b/>
          <w:bCs/>
          <w:kern w:val="0"/>
          <w:sz w:val="32"/>
          <w:szCs w:val="32"/>
        </w:rPr>
        <w:t>中 華 民 國        年       月       日</w:t>
      </w:r>
    </w:p>
    <w:sectPr>
      <w:footerReference w:type="default" r:id="rId3"/>
      <w:type w:val="nextPage"/>
      <w:pgSz w:w="11906" w:h="16838"/>
      <w:pgMar w:left="1230" w:right="1055" w:gutter="0" w:header="0" w:top="1106" w:footer="992" w:bottom="1049"/>
      <w:pgNumType w:fmt="decimal"/>
      <w:formProt w:val="false"/>
      <w:textDirection w:val="lrTb"/>
      <w:docGrid w:type="lines"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88"/>
    <w:family w:val="roman"/>
    <w:pitch w:val="variable"/>
  </w:font>
  <w:font w:name="Calibri">
    <w:charset w:val="88"/>
    <w:family w:val="roman"/>
    <w:pitch w:val="variable"/>
  </w:font>
  <w:font w:name="Cambria">
    <w:charset w:val="88"/>
    <w:family w:val="roman"/>
    <w:pitch w:val="variable"/>
  </w:font>
  <w:font w:name="Times New Roman">
    <w:charset w:val="88"/>
    <w:family w:val="roman"/>
    <w:pitch w:val="variable"/>
  </w:font>
  <w:font w:name="Liberation Sans">
    <w:altName w:val="Arial"/>
    <w:charset w:val="88"/>
    <w:family w:val="roman"/>
    <w:pitch w:val="variable"/>
  </w:font>
  <w:font w:name="標楷體">
    <w:charset w:val="88"/>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821666855"/>
    </w:sdtPr>
    <w:sdtContent>
      <w:p>
        <w:pPr>
          <w:pStyle w:val="Style25"/>
          <w:jc w:val="center"/>
          <w:rPr/>
        </w:pPr>
        <w:r>
          <w:rPr>
            <w:lang w:val="zh-TW"/>
          </w:rPr>
          <w:fldChar w:fldCharType="begin"/>
        </w:r>
        <w:r>
          <w:rPr>
            <w:lang w:val="zh-TW"/>
          </w:rPr>
          <w:instrText> PAGE </w:instrText>
        </w:r>
        <w:r>
          <w:rPr>
            <w:lang w:val="zh-TW"/>
          </w:rPr>
          <w:fldChar w:fldCharType="separate"/>
        </w:r>
        <w:r>
          <w:rPr>
            <w:lang w:val="zh-TW"/>
          </w:rPr>
          <w:t>10</w:t>
        </w:r>
        <w:r>
          <w:rPr>
            <w:lang w:val="zh-TW"/>
          </w:rPr>
          <w:fldChar w:fldCharType="end"/>
        </w:r>
      </w:p>
      <w:p>
        <w:pPr>
          <w:pStyle w:val="Style25"/>
          <w:rPr/>
        </w:pPr>
        <w:r>
          <w:rPr/>
        </w:r>
      </w:p>
    </w:sdtContent>
  </w:sdt>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323974175"/>
    </w:sdtPr>
    <w:sdtContent>
      <w:p>
        <w:pPr>
          <w:pStyle w:val="Style25"/>
          <w:jc w:val="center"/>
          <w:rPr/>
        </w:pPr>
        <w:r>
          <w:rPr>
            <w:lang w:val="zh-TW"/>
          </w:rPr>
          <w:fldChar w:fldCharType="begin"/>
        </w:r>
        <w:r>
          <w:rPr>
            <w:lang w:val="zh-TW"/>
          </w:rPr>
          <w:instrText> PAGE </w:instrText>
        </w:r>
        <w:r>
          <w:rPr>
            <w:lang w:val="zh-TW"/>
          </w:rPr>
          <w:fldChar w:fldCharType="separate"/>
        </w:r>
        <w:r>
          <w:rPr>
            <w:lang w:val="zh-TW"/>
          </w:rPr>
          <w:t>12</w:t>
        </w:r>
        <w:r>
          <w:rPr>
            <w:lang w:val="zh-TW"/>
          </w:rPr>
          <w:fldChar w:fldCharType="end"/>
        </w:r>
      </w:p>
      <w:p>
        <w:pPr>
          <w:pStyle w:val="Style25"/>
          <w:rPr/>
        </w:pPr>
        <w:r>
          <w:rPr/>
        </w:r>
      </w:p>
    </w:sdtContent>
  </w:sdt>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taiwaneseCountingThousand"/>
      <w:lvlText w:val="第%1條"/>
      <w:lvlJc w:val="left"/>
      <w:pPr>
        <w:tabs>
          <w:tab w:val="num" w:pos="1140"/>
        </w:tabs>
        <w:ind w:left="1140" w:hanging="1140"/>
      </w:pPr>
      <w:rPr>
        <w:color w:val="000000"/>
        <w:lang w:val="en-US"/>
      </w:rPr>
    </w:lvl>
    <w:lvl w:ilvl="1">
      <w:start w:val="1"/>
      <w:numFmt w:val="ideographTraditional"/>
      <w:lvlText w:val="%2、"/>
      <w:lvlJc w:val="left"/>
      <w:pPr>
        <w:tabs>
          <w:tab w:val="num" w:pos="974"/>
        </w:tabs>
        <w:ind w:left="974" w:hanging="480"/>
      </w:pPr>
    </w:lvl>
    <w:lvl w:ilvl="2">
      <w:start w:val="1"/>
      <w:numFmt w:val="lowerRoman"/>
      <w:lvlText w:val="%3."/>
      <w:lvlJc w:val="right"/>
      <w:pPr>
        <w:tabs>
          <w:tab w:val="num" w:pos="1454"/>
        </w:tabs>
        <w:ind w:left="1454" w:hanging="480"/>
      </w:pPr>
    </w:lvl>
    <w:lvl w:ilvl="3">
      <w:start w:val="1"/>
      <w:numFmt w:val="decimal"/>
      <w:lvlText w:val="%4."/>
      <w:lvlJc w:val="left"/>
      <w:pPr>
        <w:tabs>
          <w:tab w:val="num" w:pos="1934"/>
        </w:tabs>
        <w:ind w:left="1934" w:hanging="480"/>
      </w:pPr>
    </w:lvl>
    <w:lvl w:ilvl="4">
      <w:start w:val="1"/>
      <w:numFmt w:val="taiwaneseCountingThousand"/>
      <w:lvlText w:val="（%5）"/>
      <w:lvlJc w:val="left"/>
      <w:pPr>
        <w:tabs>
          <w:tab w:val="num" w:pos="0"/>
        </w:tabs>
        <w:ind w:left="2654" w:hanging="720"/>
      </w:pPr>
    </w:lvl>
    <w:lvl w:ilvl="5">
      <w:start w:val="1"/>
      <w:numFmt w:val="lowerRoman"/>
      <w:lvlText w:val="%6."/>
      <w:lvlJc w:val="right"/>
      <w:pPr>
        <w:tabs>
          <w:tab w:val="num" w:pos="2894"/>
        </w:tabs>
        <w:ind w:left="2894" w:hanging="480"/>
      </w:pPr>
    </w:lvl>
    <w:lvl w:ilvl="6">
      <w:start w:val="1"/>
      <w:numFmt w:val="decimal"/>
      <w:lvlText w:val="%7."/>
      <w:lvlJc w:val="left"/>
      <w:pPr>
        <w:tabs>
          <w:tab w:val="num" w:pos="3374"/>
        </w:tabs>
        <w:ind w:left="3374" w:hanging="480"/>
      </w:pPr>
    </w:lvl>
    <w:lvl w:ilvl="7">
      <w:start w:val="1"/>
      <w:numFmt w:val="ideographTraditional"/>
      <w:lvlText w:val="%8、"/>
      <w:lvlJc w:val="left"/>
      <w:pPr>
        <w:tabs>
          <w:tab w:val="num" w:pos="3854"/>
        </w:tabs>
        <w:ind w:left="3854" w:hanging="480"/>
      </w:pPr>
    </w:lvl>
    <w:lvl w:ilvl="8">
      <w:start w:val="1"/>
      <w:numFmt w:val="lowerRoman"/>
      <w:lvlText w:val="%9."/>
      <w:lvlJc w:val="right"/>
      <w:pPr>
        <w:tabs>
          <w:tab w:val="num" w:pos="4334"/>
        </w:tabs>
        <w:ind w:left="4334" w:hanging="480"/>
      </w:pPr>
    </w:lvl>
  </w:abstractNum>
  <w:abstractNum w:abstractNumId="2">
    <w:lvl w:ilvl="0">
      <w:start w:val="1"/>
      <w:numFmt w:val="taiwaneseCountingThousand"/>
      <w:suff w:val="nothing"/>
      <w:lvlText w:val="%1"/>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3">
    <w:lvl w:ilvl="0">
      <w:start w:val="1"/>
      <w:numFmt w:val="decimal"/>
      <w:lvlText w:val="%1."/>
      <w:lvlJc w:val="left"/>
      <w:pPr>
        <w:tabs>
          <w:tab w:val="num" w:pos="0"/>
        </w:tabs>
        <w:ind w:left="1602" w:hanging="480"/>
      </w:pPr>
      <w:rPr>
        <w:color w:val="auto"/>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4">
    <w:lvl w:ilvl="0">
      <w:start w:val="1"/>
      <w:numFmt w:val="taiwaneseCountingThousand"/>
      <w:lvlText w:val="(%1)"/>
      <w:lvlJc w:val="left"/>
      <w:pPr>
        <w:tabs>
          <w:tab w:val="num" w:pos="0"/>
        </w:tabs>
        <w:ind w:left="1286"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5">
    <w:lvl w:ilvl="0">
      <w:start w:val="1"/>
      <w:numFmt w:val="decimal"/>
      <w:lvlText w:val="%1."/>
      <w:lvlJc w:val="left"/>
      <w:pPr>
        <w:tabs>
          <w:tab w:val="num" w:pos="0"/>
        </w:tabs>
        <w:ind w:left="1602" w:hanging="480"/>
      </w:pPr>
      <w:rPr>
        <w:rFonts w:ascii="標楷體" w:hAnsi="標楷體" w:eastAsia="標楷體"/>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6">
    <w:lvl w:ilvl="0">
      <w:start w:val="1"/>
      <w:numFmt w:val="decimal"/>
      <w:lvlText w:val="%1."/>
      <w:lvlJc w:val="left"/>
      <w:pPr>
        <w:tabs>
          <w:tab w:val="num" w:pos="0"/>
        </w:tabs>
        <w:ind w:left="1602" w:hanging="480"/>
      </w:pPr>
      <w:rPr>
        <w:rFonts w:ascii="標楷體" w:hAnsi="標楷體" w:eastAsia="標楷體"/>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7">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8">
    <w:lvl w:ilvl="0">
      <w:start w:val="1"/>
      <w:numFmt w:val="taiwaneseCountingThousand"/>
      <w:lvlText w:val="(%1)"/>
      <w:lvlJc w:val="left"/>
      <w:pPr>
        <w:tabs>
          <w:tab w:val="num" w:pos="0"/>
        </w:tabs>
        <w:ind w:left="1286"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9">
    <w:lvl w:ilvl="0">
      <w:start w:val="1"/>
      <w:numFmt w:val="decimal"/>
      <w:lvlText w:val="%1."/>
      <w:lvlJc w:val="left"/>
      <w:pPr>
        <w:tabs>
          <w:tab w:val="num" w:pos="0"/>
        </w:tabs>
        <w:ind w:left="1602" w:hanging="480"/>
      </w:p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10">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1">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2">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3">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4">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5">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6">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7">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8">
    <w:lvl w:ilvl="0">
      <w:start w:val="1"/>
      <w:numFmt w:val="taiwaneseCountingThousand"/>
      <w:lvlText w:val="(%1)"/>
      <w:lvlJc w:val="left"/>
      <w:pPr>
        <w:tabs>
          <w:tab w:val="num" w:pos="0"/>
        </w:tabs>
        <w:ind w:left="1285"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19">
    <w:lvl w:ilvl="0">
      <w:start w:val="1"/>
      <w:numFmt w:val="taiwaneseCountingThousand"/>
      <w:lvlText w:val="(%1)"/>
      <w:lvlJc w:val="left"/>
      <w:pPr>
        <w:tabs>
          <w:tab w:val="num" w:pos="0"/>
        </w:tabs>
        <w:ind w:left="1286"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20">
    <w:lvl w:ilvl="0">
      <w:start w:val="1"/>
      <w:numFmt w:val="decimal"/>
      <w:lvlText w:val="%1."/>
      <w:lvlJc w:val="left"/>
      <w:pPr>
        <w:tabs>
          <w:tab w:val="num" w:pos="0"/>
        </w:tabs>
        <w:ind w:left="1536" w:hanging="480"/>
      </w:pPr>
      <w:rPr>
        <w:rFonts w:ascii="標楷體" w:hAnsi="標楷體" w:eastAsia="標楷體"/>
      </w:rPr>
    </w:lvl>
    <w:lvl w:ilvl="1">
      <w:start w:val="1"/>
      <w:numFmt w:val="ideographTraditional"/>
      <w:lvlText w:val="%2、"/>
      <w:lvlJc w:val="left"/>
      <w:pPr>
        <w:tabs>
          <w:tab w:val="num" w:pos="0"/>
        </w:tabs>
        <w:ind w:left="2016" w:hanging="480"/>
      </w:pPr>
    </w:lvl>
    <w:lvl w:ilvl="2">
      <w:start w:val="1"/>
      <w:numFmt w:val="lowerRoman"/>
      <w:lvlText w:val="%3."/>
      <w:lvlJc w:val="right"/>
      <w:pPr>
        <w:tabs>
          <w:tab w:val="num" w:pos="0"/>
        </w:tabs>
        <w:ind w:left="2496" w:hanging="480"/>
      </w:pPr>
    </w:lvl>
    <w:lvl w:ilvl="3">
      <w:start w:val="1"/>
      <w:numFmt w:val="decimal"/>
      <w:lvlText w:val="%4."/>
      <w:lvlJc w:val="left"/>
      <w:pPr>
        <w:tabs>
          <w:tab w:val="num" w:pos="0"/>
        </w:tabs>
        <w:ind w:left="2976" w:hanging="480"/>
      </w:pPr>
    </w:lvl>
    <w:lvl w:ilvl="4">
      <w:start w:val="1"/>
      <w:numFmt w:val="ideographTraditional"/>
      <w:lvlText w:val="%5、"/>
      <w:lvlJc w:val="left"/>
      <w:pPr>
        <w:tabs>
          <w:tab w:val="num" w:pos="0"/>
        </w:tabs>
        <w:ind w:left="3456" w:hanging="480"/>
      </w:pPr>
    </w:lvl>
    <w:lvl w:ilvl="5">
      <w:start w:val="1"/>
      <w:numFmt w:val="lowerRoman"/>
      <w:lvlText w:val="%6."/>
      <w:lvlJc w:val="right"/>
      <w:pPr>
        <w:tabs>
          <w:tab w:val="num" w:pos="0"/>
        </w:tabs>
        <w:ind w:left="3936" w:hanging="480"/>
      </w:pPr>
    </w:lvl>
    <w:lvl w:ilvl="6">
      <w:start w:val="1"/>
      <w:numFmt w:val="decimal"/>
      <w:lvlText w:val="%7."/>
      <w:lvlJc w:val="left"/>
      <w:pPr>
        <w:tabs>
          <w:tab w:val="num" w:pos="0"/>
        </w:tabs>
        <w:ind w:left="4416" w:hanging="480"/>
      </w:pPr>
    </w:lvl>
    <w:lvl w:ilvl="7">
      <w:start w:val="1"/>
      <w:numFmt w:val="ideographTraditional"/>
      <w:lvlText w:val="%8、"/>
      <w:lvlJc w:val="left"/>
      <w:pPr>
        <w:tabs>
          <w:tab w:val="num" w:pos="0"/>
        </w:tabs>
        <w:ind w:left="4896" w:hanging="480"/>
      </w:pPr>
    </w:lvl>
    <w:lvl w:ilvl="8">
      <w:start w:val="1"/>
      <w:numFmt w:val="lowerRoman"/>
      <w:lvlText w:val="%9."/>
      <w:lvlJc w:val="right"/>
      <w:pPr>
        <w:tabs>
          <w:tab w:val="num" w:pos="0"/>
        </w:tabs>
        <w:ind w:left="5376" w:hanging="480"/>
      </w:pPr>
    </w:lvl>
  </w:abstractNum>
  <w:abstractNum w:abstractNumId="21">
    <w:lvl w:ilvl="0">
      <w:start w:val="1"/>
      <w:numFmt w:val="taiwaneseCountingThousand"/>
      <w:lvlText w:val="%1、"/>
      <w:lvlJc w:val="left"/>
      <w:pPr>
        <w:tabs>
          <w:tab w:val="num" w:pos="480"/>
        </w:tabs>
        <w:ind w:left="480" w:hanging="480"/>
      </w:pPr>
    </w:lvl>
    <w:lvl w:ilvl="1">
      <w:start w:val="1"/>
      <w:numFmt w:val="taiwaneseCountingThousand"/>
      <w:lvlText w:val="（%2）"/>
      <w:lvlJc w:val="left"/>
      <w:pPr>
        <w:tabs>
          <w:tab w:val="num" w:pos="1200"/>
        </w:tabs>
        <w:ind w:left="1200" w:hanging="72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2">
    <w:lvl w:ilvl="0">
      <w:start w:val="1"/>
      <w:numFmt w:val="decimal"/>
      <w:lvlText w:val="%1."/>
      <w:lvlJc w:val="left"/>
      <w:pPr>
        <w:tabs>
          <w:tab w:val="num" w:pos="0"/>
        </w:tabs>
        <w:ind w:left="1602" w:hanging="480"/>
      </w:pPr>
      <w:rPr>
        <w:rFonts w:ascii="標楷體" w:hAnsi="標楷體" w:eastAsia="標楷體"/>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23">
    <w:lvl w:ilvl="0">
      <w:start w:val="1"/>
      <w:numFmt w:val="taiwaneseCountingThousand"/>
      <w:lvlText w:val="（%1）"/>
      <w:lvlJc w:val="left"/>
      <w:pPr>
        <w:tabs>
          <w:tab w:val="num" w:pos="1200"/>
        </w:tabs>
        <w:ind w:left="1200" w:hanging="720"/>
      </w:pPr>
    </w:lvl>
    <w:lvl w:ilvl="1">
      <w:start w:val="1"/>
      <w:numFmt w:val="decimalFullWidth"/>
      <w:lvlText w:val="%2、"/>
      <w:lvlJc w:val="left"/>
      <w:pPr>
        <w:tabs>
          <w:tab w:val="num" w:pos="1440"/>
        </w:tabs>
        <w:ind w:left="1440" w:hanging="480"/>
      </w:pPr>
    </w:lvl>
    <w:lvl w:ilvl="2">
      <w:start w:val="1"/>
      <w:numFmt w:val="lowerRoman"/>
      <w:lvlText w:val="%3."/>
      <w:lvlJc w:val="right"/>
      <w:pPr>
        <w:tabs>
          <w:tab w:val="num" w:pos="1920"/>
        </w:tabs>
        <w:ind w:left="1920" w:hanging="480"/>
      </w:pPr>
    </w:lvl>
    <w:lvl w:ilvl="3">
      <w:start w:val="1"/>
      <w:numFmt w:val="decimal"/>
      <w:lvlText w:val="%4."/>
      <w:lvlJc w:val="left"/>
      <w:pPr>
        <w:tabs>
          <w:tab w:val="num" w:pos="2400"/>
        </w:tabs>
        <w:ind w:left="2400" w:hanging="480"/>
      </w:pPr>
    </w:lvl>
    <w:lvl w:ilvl="4">
      <w:start w:val="1"/>
      <w:numFmt w:val="ideographTraditional"/>
      <w:lvlText w:val="%5、"/>
      <w:lvlJc w:val="left"/>
      <w:pPr>
        <w:tabs>
          <w:tab w:val="num" w:pos="2880"/>
        </w:tabs>
        <w:ind w:left="2880" w:hanging="480"/>
      </w:pPr>
    </w:lvl>
    <w:lvl w:ilvl="5">
      <w:start w:val="1"/>
      <w:numFmt w:val="lowerRoman"/>
      <w:lvlText w:val="%6."/>
      <w:lvlJc w:val="right"/>
      <w:pPr>
        <w:tabs>
          <w:tab w:val="num" w:pos="3360"/>
        </w:tabs>
        <w:ind w:left="3360" w:hanging="480"/>
      </w:pPr>
    </w:lvl>
    <w:lvl w:ilvl="6">
      <w:start w:val="1"/>
      <w:numFmt w:val="decimal"/>
      <w:lvlText w:val="%7."/>
      <w:lvlJc w:val="left"/>
      <w:pPr>
        <w:tabs>
          <w:tab w:val="num" w:pos="3840"/>
        </w:tabs>
        <w:ind w:left="3840" w:hanging="480"/>
      </w:pPr>
    </w:lvl>
    <w:lvl w:ilvl="7">
      <w:start w:val="1"/>
      <w:numFmt w:val="ideographTraditional"/>
      <w:lvlText w:val="%8、"/>
      <w:lvlJc w:val="left"/>
      <w:pPr>
        <w:tabs>
          <w:tab w:val="num" w:pos="4320"/>
        </w:tabs>
        <w:ind w:left="4320" w:hanging="480"/>
      </w:pPr>
    </w:lvl>
    <w:lvl w:ilvl="8">
      <w:start w:val="1"/>
      <w:numFmt w:val="lowerRoman"/>
      <w:lvlText w:val="%9."/>
      <w:lvlJc w:val="right"/>
      <w:pPr>
        <w:tabs>
          <w:tab w:val="num" w:pos="4800"/>
        </w:tabs>
        <w:ind w:left="4800" w:hanging="480"/>
      </w:pPr>
    </w:lvl>
  </w:abstractNum>
  <w:abstractNum w:abstractNumId="24">
    <w:lvl w:ilvl="0">
      <w:start w:val="1"/>
      <w:numFmt w:val="taiwaneseCountingThousand"/>
      <w:lvlText w:val="(%1)"/>
      <w:lvlJc w:val="left"/>
      <w:pPr>
        <w:tabs>
          <w:tab w:val="num" w:pos="0"/>
        </w:tabs>
        <w:ind w:left="1286" w:hanging="576"/>
      </w:pPr>
      <w:rPr>
        <w:sz w:val="28"/>
        <w:rFonts w:ascii="標楷體" w:hAnsi="標楷體" w:eastAsia="標楷體" w:cs="新細明體"/>
        <w:color w:val="000000"/>
      </w:rPr>
    </w:lvl>
    <w:lvl w:ilvl="1">
      <w:start w:val="1"/>
      <w:numFmt w:val="ideographTraditional"/>
      <w:lvlText w:val="%2、"/>
      <w:lvlJc w:val="left"/>
      <w:pPr>
        <w:tabs>
          <w:tab w:val="num" w:pos="0"/>
        </w:tabs>
        <w:ind w:left="1245" w:hanging="480"/>
      </w:pPr>
    </w:lvl>
    <w:lvl w:ilvl="2">
      <w:start w:val="1"/>
      <w:numFmt w:val="lowerRoman"/>
      <w:lvlText w:val="%3."/>
      <w:lvlJc w:val="right"/>
      <w:pPr>
        <w:tabs>
          <w:tab w:val="num" w:pos="0"/>
        </w:tabs>
        <w:ind w:left="1725" w:hanging="480"/>
      </w:pPr>
    </w:lvl>
    <w:lvl w:ilvl="3">
      <w:start w:val="1"/>
      <w:numFmt w:val="decimal"/>
      <w:lvlText w:val="%4."/>
      <w:lvlJc w:val="left"/>
      <w:pPr>
        <w:tabs>
          <w:tab w:val="num" w:pos="0"/>
        </w:tabs>
        <w:ind w:left="2205" w:hanging="480"/>
      </w:pPr>
    </w:lvl>
    <w:lvl w:ilvl="4">
      <w:start w:val="1"/>
      <w:numFmt w:val="ideographTraditional"/>
      <w:lvlText w:val="%5、"/>
      <w:lvlJc w:val="left"/>
      <w:pPr>
        <w:tabs>
          <w:tab w:val="num" w:pos="0"/>
        </w:tabs>
        <w:ind w:left="2685" w:hanging="480"/>
      </w:pPr>
    </w:lvl>
    <w:lvl w:ilvl="5">
      <w:start w:val="1"/>
      <w:numFmt w:val="lowerRoman"/>
      <w:lvlText w:val="%6."/>
      <w:lvlJc w:val="right"/>
      <w:pPr>
        <w:tabs>
          <w:tab w:val="num" w:pos="0"/>
        </w:tabs>
        <w:ind w:left="3165" w:hanging="480"/>
      </w:pPr>
    </w:lvl>
    <w:lvl w:ilvl="6">
      <w:start w:val="1"/>
      <w:numFmt w:val="decimal"/>
      <w:lvlText w:val="%7."/>
      <w:lvlJc w:val="left"/>
      <w:pPr>
        <w:tabs>
          <w:tab w:val="num" w:pos="0"/>
        </w:tabs>
        <w:ind w:left="3645" w:hanging="480"/>
      </w:pPr>
    </w:lvl>
    <w:lvl w:ilvl="7">
      <w:start w:val="1"/>
      <w:numFmt w:val="ideographTraditional"/>
      <w:lvlText w:val="%8、"/>
      <w:lvlJc w:val="left"/>
      <w:pPr>
        <w:tabs>
          <w:tab w:val="num" w:pos="0"/>
        </w:tabs>
        <w:ind w:left="4125" w:hanging="480"/>
      </w:pPr>
    </w:lvl>
    <w:lvl w:ilvl="8">
      <w:start w:val="1"/>
      <w:numFmt w:val="lowerRoman"/>
      <w:lvlText w:val="%9."/>
      <w:lvlJc w:val="right"/>
      <w:pPr>
        <w:tabs>
          <w:tab w:val="num" w:pos="0"/>
        </w:tabs>
        <w:ind w:left="4605" w:hanging="480"/>
      </w:pPr>
    </w:lvl>
  </w:abstractNum>
  <w:abstractNum w:abstractNumId="25">
    <w:lvl w:ilvl="0">
      <w:start w:val="1"/>
      <w:numFmt w:val="decimal"/>
      <w:lvlText w:val="%1."/>
      <w:lvlJc w:val="left"/>
      <w:pPr>
        <w:tabs>
          <w:tab w:val="num" w:pos="0"/>
        </w:tabs>
        <w:ind w:left="360" w:hanging="360"/>
      </w:pPr>
    </w:lvl>
    <w:lvl w:ilvl="1">
      <w:start w:val="1"/>
      <w:numFmt w:val="ideographTraditional"/>
      <w:lvlText w:val="%2、"/>
      <w:lvlJc w:val="left"/>
      <w:pPr>
        <w:tabs>
          <w:tab w:val="num" w:pos="0"/>
        </w:tabs>
        <w:ind w:left="960" w:hanging="480"/>
      </w:pPr>
    </w:lvl>
    <w:lvl w:ilvl="2">
      <w:start w:val="1"/>
      <w:numFmt w:val="lowerRoman"/>
      <w:lvlText w:val="%3."/>
      <w:lvlJc w:val="right"/>
      <w:pPr>
        <w:tabs>
          <w:tab w:val="num" w:pos="0"/>
        </w:tabs>
        <w:ind w:left="1440" w:hanging="480"/>
      </w:pPr>
    </w:lvl>
    <w:lvl w:ilvl="3">
      <w:start w:val="1"/>
      <w:numFmt w:val="decimal"/>
      <w:lvlText w:val="%4."/>
      <w:lvlJc w:val="left"/>
      <w:pPr>
        <w:tabs>
          <w:tab w:val="num" w:pos="0"/>
        </w:tabs>
        <w:ind w:left="1920" w:hanging="480"/>
      </w:pPr>
    </w:lvl>
    <w:lvl w:ilvl="4">
      <w:start w:val="1"/>
      <w:numFmt w:val="ideographTraditional"/>
      <w:lvlText w:val="%5、"/>
      <w:lvlJc w:val="left"/>
      <w:pPr>
        <w:tabs>
          <w:tab w:val="num" w:pos="0"/>
        </w:tabs>
        <w:ind w:left="2400" w:hanging="480"/>
      </w:pPr>
    </w:lvl>
    <w:lvl w:ilvl="5">
      <w:start w:val="1"/>
      <w:numFmt w:val="lowerRoman"/>
      <w:lvlText w:val="%6."/>
      <w:lvlJc w:val="right"/>
      <w:pPr>
        <w:tabs>
          <w:tab w:val="num" w:pos="0"/>
        </w:tabs>
        <w:ind w:left="2880" w:hanging="480"/>
      </w:pPr>
    </w:lvl>
    <w:lvl w:ilvl="6">
      <w:start w:val="1"/>
      <w:numFmt w:val="decimal"/>
      <w:lvlText w:val="%7."/>
      <w:lvlJc w:val="left"/>
      <w:pPr>
        <w:tabs>
          <w:tab w:val="num" w:pos="0"/>
        </w:tabs>
        <w:ind w:left="3360" w:hanging="480"/>
      </w:pPr>
    </w:lvl>
    <w:lvl w:ilvl="7">
      <w:start w:val="1"/>
      <w:numFmt w:val="ideographTraditional"/>
      <w:lvlText w:val="%8、"/>
      <w:lvlJc w:val="left"/>
      <w:pPr>
        <w:tabs>
          <w:tab w:val="num" w:pos="0"/>
        </w:tabs>
        <w:ind w:left="3840" w:hanging="480"/>
      </w:pPr>
    </w:lvl>
    <w:lvl w:ilvl="8">
      <w:start w:val="1"/>
      <w:numFmt w:val="lowerRoman"/>
      <w:lvlText w:val="%9."/>
      <w:lvlJc w:val="right"/>
      <w:pPr>
        <w:tabs>
          <w:tab w:val="num" w:pos="0"/>
        </w:tabs>
        <w:ind w:left="4320" w:hanging="480"/>
      </w:pPr>
    </w:lvl>
  </w:abstractNum>
  <w:abstractNum w:abstractNumId="26">
    <w:lvl w:ilvl="0">
      <w:start w:val="1"/>
      <w:numFmt w:val="decimal"/>
      <w:lvlText w:val="%1."/>
      <w:lvlJc w:val="left"/>
      <w:pPr>
        <w:tabs>
          <w:tab w:val="num" w:pos="0"/>
        </w:tabs>
        <w:ind w:left="1602" w:hanging="480"/>
      </w:pPr>
      <w:rPr>
        <w:dstrike w:val="false"/>
        <w:strike w:val="false"/>
        <w:rFonts w:ascii="標楷體" w:hAnsi="標楷體" w:eastAsia="標楷體"/>
        <w:color w:val="auto"/>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27">
    <w:lvl w:ilvl="0">
      <w:start w:val="1"/>
      <w:numFmt w:val="decimal"/>
      <w:lvlText w:val="%1."/>
      <w:lvlJc w:val="left"/>
      <w:pPr>
        <w:tabs>
          <w:tab w:val="num" w:pos="0"/>
        </w:tabs>
        <w:ind w:left="1602" w:hanging="480"/>
      </w:pPr>
      <w:rPr>
        <w:rFonts w:ascii="標楷體" w:hAnsi="標楷體" w:eastAsia="標楷體"/>
        <w:color w:val="000000"/>
      </w:rPr>
    </w:lvl>
    <w:lvl w:ilvl="1">
      <w:start w:val="1"/>
      <w:numFmt w:val="ideographTraditional"/>
      <w:lvlText w:val="%2、"/>
      <w:lvlJc w:val="left"/>
      <w:pPr>
        <w:tabs>
          <w:tab w:val="num" w:pos="0"/>
        </w:tabs>
        <w:ind w:left="2082" w:hanging="480"/>
      </w:pPr>
    </w:lvl>
    <w:lvl w:ilvl="2">
      <w:start w:val="1"/>
      <w:numFmt w:val="lowerRoman"/>
      <w:lvlText w:val="%3."/>
      <w:lvlJc w:val="right"/>
      <w:pPr>
        <w:tabs>
          <w:tab w:val="num" w:pos="0"/>
        </w:tabs>
        <w:ind w:left="2562" w:hanging="480"/>
      </w:pPr>
    </w:lvl>
    <w:lvl w:ilvl="3">
      <w:start w:val="1"/>
      <w:numFmt w:val="decimal"/>
      <w:lvlText w:val="%4."/>
      <w:lvlJc w:val="left"/>
      <w:pPr>
        <w:tabs>
          <w:tab w:val="num" w:pos="0"/>
        </w:tabs>
        <w:ind w:left="3042" w:hanging="480"/>
      </w:pPr>
    </w:lvl>
    <w:lvl w:ilvl="4">
      <w:start w:val="1"/>
      <w:numFmt w:val="ideographTraditional"/>
      <w:lvlText w:val="%5、"/>
      <w:lvlJc w:val="left"/>
      <w:pPr>
        <w:tabs>
          <w:tab w:val="num" w:pos="0"/>
        </w:tabs>
        <w:ind w:left="3522" w:hanging="480"/>
      </w:pPr>
    </w:lvl>
    <w:lvl w:ilvl="5">
      <w:start w:val="1"/>
      <w:numFmt w:val="lowerRoman"/>
      <w:lvlText w:val="%6."/>
      <w:lvlJc w:val="right"/>
      <w:pPr>
        <w:tabs>
          <w:tab w:val="num" w:pos="0"/>
        </w:tabs>
        <w:ind w:left="4002" w:hanging="480"/>
      </w:pPr>
    </w:lvl>
    <w:lvl w:ilvl="6">
      <w:start w:val="1"/>
      <w:numFmt w:val="decimal"/>
      <w:lvlText w:val="%7."/>
      <w:lvlJc w:val="left"/>
      <w:pPr>
        <w:tabs>
          <w:tab w:val="num" w:pos="0"/>
        </w:tabs>
        <w:ind w:left="4482" w:hanging="480"/>
      </w:pPr>
    </w:lvl>
    <w:lvl w:ilvl="7">
      <w:start w:val="1"/>
      <w:numFmt w:val="ideographTraditional"/>
      <w:lvlText w:val="%8、"/>
      <w:lvlJc w:val="left"/>
      <w:pPr>
        <w:tabs>
          <w:tab w:val="num" w:pos="0"/>
        </w:tabs>
        <w:ind w:left="4962" w:hanging="480"/>
      </w:pPr>
    </w:lvl>
    <w:lvl w:ilvl="8">
      <w:start w:val="1"/>
      <w:numFmt w:val="lowerRoman"/>
      <w:lvlText w:val="%9."/>
      <w:lvlJc w:val="right"/>
      <w:pPr>
        <w:tabs>
          <w:tab w:val="num" w:pos="0"/>
        </w:tabs>
        <w:ind w:left="5442" w:hanging="480"/>
      </w:pPr>
    </w:lvl>
  </w:abstractNum>
  <w:abstractNum w:abstractNumId="28">
    <w:lvl w:ilvl="0">
      <w:start w:val="1"/>
      <w:numFmt w:val="decimal"/>
      <w:lvlText w:val="%1."/>
      <w:lvlJc w:val="left"/>
      <w:pPr>
        <w:tabs>
          <w:tab w:val="num" w:pos="0"/>
        </w:tabs>
        <w:ind w:left="1536" w:hanging="480"/>
      </w:pPr>
      <w:rPr>
        <w:rFonts w:ascii="標楷體" w:hAnsi="標楷體" w:eastAsia="標楷體"/>
      </w:rPr>
    </w:lvl>
    <w:lvl w:ilvl="1">
      <w:start w:val="1"/>
      <w:numFmt w:val="ideographTraditional"/>
      <w:lvlText w:val="%2、"/>
      <w:lvlJc w:val="left"/>
      <w:pPr>
        <w:tabs>
          <w:tab w:val="num" w:pos="0"/>
        </w:tabs>
        <w:ind w:left="2016" w:hanging="480"/>
      </w:pPr>
    </w:lvl>
    <w:lvl w:ilvl="2">
      <w:start w:val="1"/>
      <w:numFmt w:val="lowerRoman"/>
      <w:lvlText w:val="%3."/>
      <w:lvlJc w:val="right"/>
      <w:pPr>
        <w:tabs>
          <w:tab w:val="num" w:pos="0"/>
        </w:tabs>
        <w:ind w:left="2496" w:hanging="480"/>
      </w:pPr>
    </w:lvl>
    <w:lvl w:ilvl="3">
      <w:start w:val="1"/>
      <w:numFmt w:val="decimal"/>
      <w:lvlText w:val="%4."/>
      <w:lvlJc w:val="left"/>
      <w:pPr>
        <w:tabs>
          <w:tab w:val="num" w:pos="0"/>
        </w:tabs>
        <w:ind w:left="2976" w:hanging="480"/>
      </w:pPr>
    </w:lvl>
    <w:lvl w:ilvl="4">
      <w:start w:val="1"/>
      <w:numFmt w:val="ideographTraditional"/>
      <w:lvlText w:val="%5、"/>
      <w:lvlJc w:val="left"/>
      <w:pPr>
        <w:tabs>
          <w:tab w:val="num" w:pos="0"/>
        </w:tabs>
        <w:ind w:left="3456" w:hanging="480"/>
      </w:pPr>
    </w:lvl>
    <w:lvl w:ilvl="5">
      <w:start w:val="1"/>
      <w:numFmt w:val="lowerRoman"/>
      <w:lvlText w:val="%6."/>
      <w:lvlJc w:val="right"/>
      <w:pPr>
        <w:tabs>
          <w:tab w:val="num" w:pos="0"/>
        </w:tabs>
        <w:ind w:left="3936" w:hanging="480"/>
      </w:pPr>
    </w:lvl>
    <w:lvl w:ilvl="6">
      <w:start w:val="1"/>
      <w:numFmt w:val="decimal"/>
      <w:lvlText w:val="%7."/>
      <w:lvlJc w:val="left"/>
      <w:pPr>
        <w:tabs>
          <w:tab w:val="num" w:pos="0"/>
        </w:tabs>
        <w:ind w:left="4416" w:hanging="480"/>
      </w:pPr>
    </w:lvl>
    <w:lvl w:ilvl="7">
      <w:start w:val="1"/>
      <w:numFmt w:val="ideographTraditional"/>
      <w:lvlText w:val="%8、"/>
      <w:lvlJc w:val="left"/>
      <w:pPr>
        <w:tabs>
          <w:tab w:val="num" w:pos="0"/>
        </w:tabs>
        <w:ind w:left="4896" w:hanging="480"/>
      </w:pPr>
    </w:lvl>
    <w:lvl w:ilvl="8">
      <w:start w:val="1"/>
      <w:numFmt w:val="lowerRoman"/>
      <w:lvlText w:val="%9."/>
      <w:lvlJc w:val="right"/>
      <w:pPr>
        <w:tabs>
          <w:tab w:val="num" w:pos="0"/>
        </w:tabs>
        <w:ind w:left="5376" w:hanging="480"/>
      </w:pPr>
    </w:lvl>
  </w:abstractNum>
  <w:abstractNum w:abstractNumId="29">
    <w:lvl w:ilvl="0">
      <w:start w:val="1"/>
      <w:numFmt w:val="decimal"/>
      <w:lvlText w:val="%1."/>
      <w:lvlJc w:val="left"/>
      <w:pPr>
        <w:tabs>
          <w:tab w:val="num" w:pos="0"/>
        </w:tabs>
        <w:ind w:left="1805" w:hanging="480"/>
      </w:pPr>
      <w:rPr>
        <w:sz w:val="28"/>
        <w:szCs w:val="28"/>
        <w:rFonts w:ascii="標楷體" w:hAnsi="標楷體" w:eastAsia="標楷體"/>
        <w:color w:val="FF0000"/>
      </w:rPr>
    </w:lvl>
    <w:lvl w:ilvl="1">
      <w:start w:val="1"/>
      <w:numFmt w:val="ideographTraditional"/>
      <w:lvlText w:val="%2、"/>
      <w:lvlJc w:val="left"/>
      <w:pPr>
        <w:tabs>
          <w:tab w:val="num" w:pos="0"/>
        </w:tabs>
        <w:ind w:left="2285" w:hanging="480"/>
      </w:pPr>
    </w:lvl>
    <w:lvl w:ilvl="2">
      <w:start w:val="1"/>
      <w:numFmt w:val="lowerRoman"/>
      <w:lvlText w:val="%3."/>
      <w:lvlJc w:val="right"/>
      <w:pPr>
        <w:tabs>
          <w:tab w:val="num" w:pos="0"/>
        </w:tabs>
        <w:ind w:left="2765" w:hanging="480"/>
      </w:pPr>
    </w:lvl>
    <w:lvl w:ilvl="3">
      <w:start w:val="1"/>
      <w:numFmt w:val="decimal"/>
      <w:lvlText w:val="%4."/>
      <w:lvlJc w:val="left"/>
      <w:pPr>
        <w:tabs>
          <w:tab w:val="num" w:pos="0"/>
        </w:tabs>
        <w:ind w:left="3245" w:hanging="480"/>
      </w:pPr>
    </w:lvl>
    <w:lvl w:ilvl="4">
      <w:start w:val="1"/>
      <w:numFmt w:val="ideographTraditional"/>
      <w:lvlText w:val="%5、"/>
      <w:lvlJc w:val="left"/>
      <w:pPr>
        <w:tabs>
          <w:tab w:val="num" w:pos="0"/>
        </w:tabs>
        <w:ind w:left="3725" w:hanging="480"/>
      </w:pPr>
    </w:lvl>
    <w:lvl w:ilvl="5">
      <w:start w:val="1"/>
      <w:numFmt w:val="lowerRoman"/>
      <w:lvlText w:val="%6."/>
      <w:lvlJc w:val="right"/>
      <w:pPr>
        <w:tabs>
          <w:tab w:val="num" w:pos="0"/>
        </w:tabs>
        <w:ind w:left="4205" w:hanging="480"/>
      </w:pPr>
    </w:lvl>
    <w:lvl w:ilvl="6">
      <w:start w:val="1"/>
      <w:numFmt w:val="decimal"/>
      <w:lvlText w:val="%7."/>
      <w:lvlJc w:val="left"/>
      <w:pPr>
        <w:tabs>
          <w:tab w:val="num" w:pos="0"/>
        </w:tabs>
        <w:ind w:left="4685" w:hanging="480"/>
      </w:pPr>
    </w:lvl>
    <w:lvl w:ilvl="7">
      <w:start w:val="1"/>
      <w:numFmt w:val="ideographTraditional"/>
      <w:lvlText w:val="%8、"/>
      <w:lvlJc w:val="left"/>
      <w:pPr>
        <w:tabs>
          <w:tab w:val="num" w:pos="0"/>
        </w:tabs>
        <w:ind w:left="5165" w:hanging="480"/>
      </w:pPr>
    </w:lvl>
    <w:lvl w:ilvl="8">
      <w:start w:val="1"/>
      <w:numFmt w:val="lowerRoman"/>
      <w:lvlText w:val="%9."/>
      <w:lvlJc w:val="right"/>
      <w:pPr>
        <w:tabs>
          <w:tab w:val="num" w:pos="0"/>
        </w:tabs>
        <w:ind w:left="5645" w:hanging="480"/>
      </w:pPr>
    </w:lvl>
  </w:abstractNum>
  <w:abstractNum w:abstractNumId="3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bering>
</file>

<file path=word/settings.xml><?xml version="1.0" encoding="utf-8"?>
<w:settings xmlns:w="http://schemas.openxmlformats.org/wordprocessingml/2006/main">
  <w:zoom w:percent="150"/>
  <w:defaultTabStop w:val="480"/>
  <w:autoHyphenation w:val="true"/>
  <w:compat>
    <w:doNotExpandShiftReturn/>
    <w:compatSetting w:name="compatibilityMode" w:uri="http://schemas.microsoft.com/office/word" w:val="12"/>
    <w:compatSetting w:name="useWord2013TrackBottomHyphenation" w:uri="http://schemas.microsoft.com/office/word" w:val="1"/>
  </w:compat>
  <w:themeFontLang w:val="en-US" w:eastAsia="zh-TW"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新細明體" w:asciiTheme="minorHAnsi" w:cstheme="minorBidi" w:eastAsiaTheme="minorEastAsia" w:hAnsiTheme="minorHAnsi"/>
        <w:kern w:val="2"/>
        <w:sz w:val="24"/>
        <w:szCs w:val="22"/>
        <w:lang w:val="en-US" w:eastAsia="zh-TW"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650a44"/>
    <w:pPr>
      <w:widowControl w:val="false"/>
      <w:suppressAutoHyphens w:val="true"/>
      <w:bidi w:val="0"/>
      <w:spacing w:before="0" w:after="0"/>
      <w:jc w:val="left"/>
    </w:pPr>
    <w:rPr>
      <w:rFonts w:ascii="Calibri" w:hAnsi="Calibri" w:eastAsia="" w:cs="新細明體" w:asciiTheme="minorHAnsi" w:cstheme="minorBidi" w:eastAsiaTheme="minorEastAsia" w:hAnsiTheme="minorHAnsi"/>
      <w:color w:val="auto"/>
      <w:kern w:val="2"/>
      <w:sz w:val="24"/>
      <w:szCs w:val="22"/>
      <w:lang w:val="en-US" w:eastAsia="zh-TW" w:bidi="ar-SA"/>
    </w:rPr>
  </w:style>
  <w:style w:type="character" w:styleId="DefaultParagraphFont" w:default="1">
    <w:name w:val="Default Paragraph Font"/>
    <w:uiPriority w:val="1"/>
    <w:semiHidden/>
    <w:unhideWhenUsed/>
    <w:qFormat/>
    <w:rPr/>
  </w:style>
  <w:style w:type="character" w:styleId="Style14" w:customStyle="1">
    <w:name w:val="註解方塊文字 字元"/>
    <w:basedOn w:val="DefaultParagraphFont"/>
    <w:link w:val="a8"/>
    <w:semiHidden/>
    <w:qFormat/>
    <w:rsid w:val="00dc4bb9"/>
    <w:rPr>
      <w:rFonts w:ascii="Cambria" w:hAnsi="Cambria" w:eastAsia="新細明體" w:cs="Times New Roman"/>
      <w:sz w:val="18"/>
      <w:szCs w:val="18"/>
    </w:rPr>
  </w:style>
  <w:style w:type="character" w:styleId="Style15" w:customStyle="1">
    <w:name w:val="頁首 字元"/>
    <w:basedOn w:val="DefaultParagraphFont"/>
    <w:link w:val="aa"/>
    <w:uiPriority w:val="99"/>
    <w:qFormat/>
    <w:rsid w:val="004b7d62"/>
    <w:rPr>
      <w:sz w:val="20"/>
      <w:szCs w:val="20"/>
    </w:rPr>
  </w:style>
  <w:style w:type="character" w:styleId="Style16" w:customStyle="1">
    <w:name w:val="頁尾 字元"/>
    <w:basedOn w:val="DefaultParagraphFont"/>
    <w:link w:val="ac"/>
    <w:uiPriority w:val="99"/>
    <w:qFormat/>
    <w:rsid w:val="004b7d62"/>
    <w:rPr>
      <w:sz w:val="20"/>
      <w:szCs w:val="20"/>
    </w:rPr>
  </w:style>
  <w:style w:type="character" w:styleId="Style17" w:customStyle="1">
    <w:name w:val="本文縮排 字元"/>
    <w:basedOn w:val="DefaultParagraphFont"/>
    <w:link w:val="ae"/>
    <w:qFormat/>
    <w:rsid w:val="00b746fb"/>
    <w:rPr>
      <w:rFonts w:ascii="Times New Roman" w:hAnsi="Times New Roman" w:eastAsia="標楷體" w:cs="Times New Roman"/>
      <w:sz w:val="32"/>
      <w:szCs w:val="20"/>
    </w:rPr>
  </w:style>
  <w:style w:type="paragraph" w:styleId="Style18">
    <w:name w:val="標題"/>
    <w:basedOn w:val="Normal"/>
    <w:next w:val="Style19"/>
    <w:qFormat/>
    <w:pPr>
      <w:keepNext w:val="true"/>
      <w:spacing w:before="240" w:after="120"/>
    </w:pPr>
    <w:rPr>
      <w:rFonts w:ascii="Liberation Sans" w:hAnsi="Liberation Sans" w:eastAsia="微軟正黑體" w:cs="思源黑體 TW"/>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思源黑體 TW"/>
    </w:rPr>
  </w:style>
  <w:style w:type="paragraph" w:styleId="Style21">
    <w:name w:val="Caption"/>
    <w:basedOn w:val="Normal"/>
    <w:qFormat/>
    <w:pPr>
      <w:suppressLineNumbers/>
      <w:spacing w:before="120" w:after="120"/>
    </w:pPr>
    <w:rPr>
      <w:rFonts w:cs="思源黑體 TW"/>
      <w:i/>
      <w:iCs/>
      <w:sz w:val="24"/>
      <w:szCs w:val="24"/>
    </w:rPr>
  </w:style>
  <w:style w:type="paragraph" w:styleId="Style22">
    <w:name w:val="索引"/>
    <w:basedOn w:val="Normal"/>
    <w:qFormat/>
    <w:pPr>
      <w:suppressLineNumbers/>
    </w:pPr>
    <w:rPr>
      <w:rFonts w:cs="思源黑體 TW"/>
    </w:rPr>
  </w:style>
  <w:style w:type="paragraph" w:styleId="ListParagraph">
    <w:name w:val="List Paragraph"/>
    <w:basedOn w:val="Normal"/>
    <w:uiPriority w:val="34"/>
    <w:qFormat/>
    <w:rsid w:val="00232dbf"/>
    <w:pPr>
      <w:ind w:left="480" w:hanging="0"/>
    </w:pPr>
    <w:rPr/>
  </w:style>
  <w:style w:type="paragraph" w:styleId="BalloonText">
    <w:name w:val="Balloon Text"/>
    <w:basedOn w:val="Normal"/>
    <w:link w:val="a9"/>
    <w:semiHidden/>
    <w:unhideWhenUsed/>
    <w:qFormat/>
    <w:rsid w:val="00dc4bb9"/>
    <w:pPr/>
    <w:rPr>
      <w:rFonts w:ascii="Cambria" w:hAnsi="Cambria" w:eastAsia="新細明體" w:cs="Times New Roman"/>
      <w:sz w:val="18"/>
      <w:szCs w:val="18"/>
    </w:rPr>
  </w:style>
  <w:style w:type="paragraph" w:styleId="Style23">
    <w:name w:val="頁首與頁尾"/>
    <w:basedOn w:val="Normal"/>
    <w:qFormat/>
    <w:pPr/>
    <w:rPr/>
  </w:style>
  <w:style w:type="paragraph" w:styleId="Style24">
    <w:name w:val="Header"/>
    <w:basedOn w:val="Normal"/>
    <w:link w:val="ab"/>
    <w:uiPriority w:val="99"/>
    <w:unhideWhenUsed/>
    <w:rsid w:val="004b7d62"/>
    <w:pPr>
      <w:tabs>
        <w:tab w:val="clear" w:pos="480"/>
        <w:tab w:val="center" w:pos="4153" w:leader="none"/>
        <w:tab w:val="right" w:pos="8306" w:leader="none"/>
      </w:tabs>
      <w:snapToGrid w:val="false"/>
    </w:pPr>
    <w:rPr>
      <w:sz w:val="20"/>
      <w:szCs w:val="20"/>
    </w:rPr>
  </w:style>
  <w:style w:type="paragraph" w:styleId="Style25">
    <w:name w:val="Footer"/>
    <w:basedOn w:val="Normal"/>
    <w:link w:val="ad"/>
    <w:uiPriority w:val="99"/>
    <w:unhideWhenUsed/>
    <w:rsid w:val="004b7d62"/>
    <w:pPr>
      <w:tabs>
        <w:tab w:val="clear" w:pos="480"/>
        <w:tab w:val="center" w:pos="4153" w:leader="none"/>
        <w:tab w:val="right" w:pos="8306" w:leader="none"/>
      </w:tabs>
      <w:snapToGrid w:val="false"/>
    </w:pPr>
    <w:rPr>
      <w:sz w:val="20"/>
      <w:szCs w:val="20"/>
    </w:rPr>
  </w:style>
  <w:style w:type="paragraph" w:styleId="Style26" w:customStyle="1">
    <w:name w:val="段落１"/>
    <w:basedOn w:val="Normal"/>
    <w:qFormat/>
    <w:rsid w:val="00d973e0"/>
    <w:pPr>
      <w:numPr>
        <w:ilvl w:val="0"/>
        <w:numId w:val="2"/>
      </w:numPr>
      <w:spacing w:lineRule="atLeast" w:line="400"/>
      <w:jc w:val="both"/>
    </w:pPr>
    <w:rPr>
      <w:rFonts w:ascii="標楷體" w:hAnsi="標楷體" w:eastAsia="標楷體" w:cs="Times New Roman"/>
      <w:sz w:val="28"/>
      <w:szCs w:val="20"/>
    </w:rPr>
  </w:style>
  <w:style w:type="paragraph" w:styleId="Style27">
    <w:name w:val="Body Text Indent"/>
    <w:basedOn w:val="Normal"/>
    <w:link w:val="af"/>
    <w:rsid w:val="00b746fb"/>
    <w:pPr>
      <w:spacing w:lineRule="exact" w:line="400"/>
      <w:ind w:left="624" w:hanging="624"/>
    </w:pPr>
    <w:rPr>
      <w:rFonts w:ascii="Times New Roman" w:hAnsi="Times New Roman" w:eastAsia="標楷體" w:cs="Times New Roman"/>
      <w:sz w:val="32"/>
      <w:szCs w:val="20"/>
    </w:rPr>
  </w:style>
  <w:style w:type="paragraph" w:styleId="Style28" w:customStyle="1">
    <w:name w:val="一"/>
    <w:basedOn w:val="Normal"/>
    <w:qFormat/>
    <w:rsid w:val="00f643be"/>
    <w:pPr>
      <w:numPr>
        <w:ilvl w:val="0"/>
        <w:numId w:val="21"/>
      </w:numPr>
    </w:pPr>
    <w:rPr>
      <w:rFonts w:ascii="標楷體" w:hAnsi="標楷體" w:eastAsia="標楷體" w:cs="Times New Roman"/>
      <w:szCs w:val="24"/>
    </w:rPr>
  </w:style>
  <w:style w:type="paragraph" w:styleId="Style29" w:customStyle="1">
    <w:name w:val="（一）"/>
    <w:basedOn w:val="Style28"/>
    <w:qFormat/>
    <w:rsid w:val="00f643be"/>
    <w:pPr>
      <w:tabs>
        <w:tab w:val="clear" w:pos="480"/>
      </w:tabs>
      <w:ind w:left="889" w:hanging="667"/>
    </w:pPr>
    <w:rPr/>
  </w:style>
  <w:style w:type="paragraph" w:styleId="Style30" w:customStyle="1">
    <w:name w:val="１"/>
    <w:basedOn w:val="Style29"/>
    <w:qFormat/>
    <w:rsid w:val="009c0145"/>
    <w:pPr>
      <w:numPr>
        <w:ilvl w:val="0"/>
        <w:numId w:val="23"/>
      </w:numPr>
    </w:pPr>
    <w:rPr/>
  </w:style>
  <w:style w:type="paragraph" w:styleId="1" w:customStyle="1">
    <w:name w:val="（一）-1"/>
    <w:basedOn w:val="Style29"/>
    <w:qFormat/>
    <w:rsid w:val="009c0145"/>
    <w:pPr>
      <w:numPr>
        <w:ilvl w:val="0"/>
        <w:numId w:val="23"/>
      </w:numPr>
      <w:ind w:left="889" w:hanging="667"/>
    </w:pPr>
    <w:rPr/>
  </w:style>
  <w:style w:type="paragraph" w:styleId="Style31">
    <w:name w:val="外框內容"/>
    <w:basedOn w:val="Normal"/>
    <w:qFormat/>
    <w:pPr/>
    <w:rPr/>
  </w:style>
  <w:style w:type="numbering" w:styleId="NoList" w:default="1">
    <w:name w:val="No List"/>
    <w:uiPriority w:val="99"/>
    <w:semiHidden/>
    <w:unhideWhenUsed/>
    <w:qFormat/>
  </w:style>
  <w:style w:type="table" w:default="1" w:styleId="a5">
    <w:name w:val="Normal Table"/>
    <w:uiPriority w:val="99"/>
    <w:semiHidden/>
    <w:unhideWhenUsed/>
    <w:tblPr>
      <w:tblCellMar>
        <w:top w:w="0" w:type="dxa"/>
        <w:left w:w="108" w:type="dxa"/>
        <w:bottom w:w="0" w:type="dxa"/>
        <w:right w:w="108" w:type="dxa"/>
      </w:tblCellMar>
    </w:tblPr>
  </w:style>
  <w:style w:type="table" w:styleId="af0">
    <w:name w:val="Table Grid"/>
    <w:basedOn w:val="a5"/>
    <w:uiPriority w:val="59"/>
    <w:rsid w:val="0087297d"/>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CE6F58-257D-413F-99B0-5751CD0BE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822</TotalTime>
  <Application>MODA_ODF_Application_Tools_3.5.4/3.5.4$Windows_X86_64 LibreOffice_project/26197fec677a214f4a49adfe2c31ece3e6a76cc0</Application>
  <AppVersion>15.0000</AppVersion>
  <Pages>12</Pages>
  <Words>8069</Words>
  <Characters>8170</Characters>
  <CharactersWithSpaces>8561</CharactersWithSpaces>
  <Paragraphs>155</Paragraphs>
  <Company>財政部國有財產署</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2019-08-20T07:32:00Z</dcterms:created>
  <dc:creator>陳香如</dc:creator>
  <dc:description/>
  <dc:language>zh-TW</dc:language>
  <cp:lastModifiedBy/>
  <cp:lastPrinted>2023-06-05T17:24:30Z</cp:lastPrinted>
  <dcterms:modified xsi:type="dcterms:W3CDTF">2023-08-28T09:20:38Z</dcterms:modified>
  <cp:revision>105</cp:revision>
  <dc:subject/>
  <dc:title/>
</cp:coreProperties>
</file>

<file path=docProps/custom.xml><?xml version="1.0" encoding="utf-8"?>
<Properties xmlns="http://schemas.openxmlformats.org/officeDocument/2006/custom-properties" xmlns:vt="http://schemas.openxmlformats.org/officeDocument/2006/docPropsVTypes"/>
</file>